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55AA" w:rsidRDefault="009355AA" w:rsidP="00D136DB">
      <w:pPr>
        <w:spacing w:line="480" w:lineRule="auto"/>
        <w:jc w:val="center"/>
        <w:rPr>
          <w:b/>
          <w:szCs w:val="24"/>
        </w:rPr>
      </w:pPr>
      <w:proofErr w:type="gramStart"/>
      <w:r>
        <w:rPr>
          <w:b/>
          <w:szCs w:val="24"/>
        </w:rPr>
        <w:t>What’s</w:t>
      </w:r>
      <w:proofErr w:type="gramEnd"/>
      <w:r>
        <w:rPr>
          <w:b/>
          <w:szCs w:val="24"/>
        </w:rPr>
        <w:t xml:space="preserve"> That Smell? Managing Deteriorating Microfilm Collections</w:t>
      </w:r>
    </w:p>
    <w:p w:rsidR="009355AA" w:rsidRDefault="009355AA" w:rsidP="00D136DB">
      <w:pPr>
        <w:spacing w:line="480" w:lineRule="auto"/>
        <w:jc w:val="center"/>
        <w:rPr>
          <w:b/>
          <w:szCs w:val="24"/>
        </w:rPr>
      </w:pPr>
      <w:proofErr w:type="gramStart"/>
      <w:r>
        <w:rPr>
          <w:b/>
          <w:szCs w:val="24"/>
        </w:rPr>
        <w:t>in</w:t>
      </w:r>
      <w:proofErr w:type="gramEnd"/>
      <w:r>
        <w:rPr>
          <w:b/>
          <w:szCs w:val="24"/>
        </w:rPr>
        <w:t xml:space="preserve"> Libraries and Archives</w:t>
      </w:r>
    </w:p>
    <w:p w:rsidR="00D6639D" w:rsidRDefault="009355AA" w:rsidP="00D136DB">
      <w:pPr>
        <w:spacing w:line="480" w:lineRule="auto"/>
        <w:jc w:val="center"/>
      </w:pPr>
      <w:r w:rsidRPr="009355AA">
        <w:rPr>
          <w:i/>
        </w:rPr>
        <w:t xml:space="preserve">Heather </w:t>
      </w:r>
      <w:proofErr w:type="spellStart"/>
      <w:r w:rsidRPr="009355AA">
        <w:rPr>
          <w:i/>
        </w:rPr>
        <w:t>Plaisance</w:t>
      </w:r>
      <w:proofErr w:type="spellEnd"/>
      <w:r w:rsidRPr="009355AA">
        <w:rPr>
          <w:i/>
        </w:rPr>
        <w:t>, University of Louisiana at Lafayette</w:t>
      </w:r>
      <w:r w:rsidR="00D6639D">
        <w:rPr>
          <w:noProof/>
        </w:rPr>
        <w:drawing>
          <wp:inline distT="0" distB="0" distL="0" distR="0" wp14:anchorId="25DAD7BF" wp14:editId="57938218">
            <wp:extent cx="5208905" cy="89535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7">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208905" cy="895350"/>
                    </a:xfrm>
                    <a:prstGeom prst="rect">
                      <a:avLst/>
                    </a:prstGeom>
                  </pic:spPr>
                </pic:pic>
              </a:graphicData>
            </a:graphic>
          </wp:inline>
        </w:drawing>
      </w:r>
    </w:p>
    <w:p w:rsidR="003F4C95" w:rsidRDefault="00D136DB" w:rsidP="00D136DB">
      <w:pPr>
        <w:spacing w:line="480" w:lineRule="auto"/>
        <w:ind w:firstLine="720"/>
        <w:jc w:val="center"/>
        <w:rPr>
          <w:b/>
        </w:rPr>
      </w:pPr>
      <w:r>
        <w:rPr>
          <w:b/>
        </w:rPr>
        <w:t>Abstract</w:t>
      </w:r>
    </w:p>
    <w:p w:rsidR="00D136DB" w:rsidRDefault="00D136DB" w:rsidP="00D136DB">
      <w:pPr>
        <w:spacing w:line="480" w:lineRule="auto"/>
      </w:pPr>
      <w:r>
        <w:t xml:space="preserve">The use of microphotography in libraries has its roots in the 1930s and 1940s. Microforms have served many functions within libraries and archives, primarily to save space and preserve scarcely used or rare materials. While the benefits to libraries are substantial, unfortunately microform materials are susceptible to damage and deterioration over time, resulting in a tremendous loss of information in libraries and archives across the world. Unfortunately, once damage to microforms occurs, it </w:t>
      </w:r>
      <w:proofErr w:type="gramStart"/>
      <w:r>
        <w:t>cannot be stopped</w:t>
      </w:r>
      <w:proofErr w:type="gramEnd"/>
      <w:r>
        <w:t xml:space="preserve">, just slowed. This article discusses the efforts at the University of Louisiana at Lafayette’s Edith Garland </w:t>
      </w:r>
      <w:proofErr w:type="spellStart"/>
      <w:r>
        <w:t>Dupré</w:t>
      </w:r>
      <w:proofErr w:type="spellEnd"/>
      <w:r>
        <w:t xml:space="preserve"> Library to manage significant damage to its microform holdings. Based on personal experiences and rooted in practices documented in the research literature, the author identifies best practices and remediation options for managing deteriorating microform collections in libraries and archives.</w:t>
      </w:r>
    </w:p>
    <w:p w:rsidR="00A11009" w:rsidRDefault="00A11009" w:rsidP="00D136DB">
      <w:pPr>
        <w:spacing w:line="480" w:lineRule="auto"/>
      </w:pPr>
      <w:r>
        <w:tab/>
      </w:r>
      <w:r>
        <w:rPr>
          <w:i/>
        </w:rPr>
        <w:t xml:space="preserve">Keywords: </w:t>
      </w:r>
      <w:r>
        <w:t>microfilm; microfilm deterioration; vinegar syndrome; collection management (libraries)</w:t>
      </w:r>
    </w:p>
    <w:p w:rsidR="00A11009" w:rsidRDefault="00A11009" w:rsidP="00D136DB">
      <w:pPr>
        <w:spacing w:line="480" w:lineRule="auto"/>
      </w:pPr>
    </w:p>
    <w:p w:rsidR="00F33DBB" w:rsidRDefault="00F33DBB" w:rsidP="00F33DBB">
      <w:pPr>
        <w:spacing w:line="480" w:lineRule="auto"/>
        <w:rPr>
          <w:b/>
          <w:szCs w:val="24"/>
        </w:rPr>
      </w:pPr>
      <w:r>
        <w:rPr>
          <w:b/>
          <w:szCs w:val="24"/>
        </w:rPr>
        <w:t>APA 7</w:t>
      </w:r>
      <w:r>
        <w:rPr>
          <w:b/>
          <w:szCs w:val="24"/>
          <w:vertAlign w:val="superscript"/>
        </w:rPr>
        <w:t>th</w:t>
      </w:r>
      <w:r>
        <w:rPr>
          <w:b/>
          <w:szCs w:val="24"/>
        </w:rPr>
        <w:t xml:space="preserve"> edition citation</w:t>
      </w:r>
    </w:p>
    <w:p w:rsidR="00F33DBB" w:rsidRDefault="00F33DBB" w:rsidP="00F33DBB">
      <w:pPr>
        <w:rPr>
          <w:szCs w:val="24"/>
        </w:rPr>
      </w:pPr>
      <w:proofErr w:type="spellStart"/>
      <w:r>
        <w:rPr>
          <w:szCs w:val="24"/>
        </w:rPr>
        <w:t>Plaisance</w:t>
      </w:r>
      <w:proofErr w:type="spellEnd"/>
      <w:r>
        <w:rPr>
          <w:szCs w:val="24"/>
        </w:rPr>
        <w:t>, H.</w:t>
      </w:r>
      <w:r>
        <w:rPr>
          <w:szCs w:val="24"/>
        </w:rPr>
        <w:t xml:space="preserve"> (2021). </w:t>
      </w:r>
      <w:r>
        <w:rPr>
          <w:szCs w:val="24"/>
        </w:rPr>
        <w:t xml:space="preserve">What’s that smell? Managing deteriorating microfilm collections in </w:t>
      </w:r>
    </w:p>
    <w:p w:rsidR="00F33DBB" w:rsidRDefault="00F33DBB" w:rsidP="00F33DBB">
      <w:pPr>
        <w:ind w:firstLine="720"/>
        <w:rPr>
          <w:szCs w:val="24"/>
        </w:rPr>
      </w:pPr>
      <w:proofErr w:type="gramStart"/>
      <w:r>
        <w:rPr>
          <w:szCs w:val="24"/>
        </w:rPr>
        <w:t>libraries</w:t>
      </w:r>
      <w:proofErr w:type="gramEnd"/>
      <w:r>
        <w:rPr>
          <w:szCs w:val="24"/>
        </w:rPr>
        <w:t xml:space="preserve"> and archives</w:t>
      </w:r>
      <w:r>
        <w:rPr>
          <w:szCs w:val="24"/>
        </w:rPr>
        <w:t xml:space="preserve">. </w:t>
      </w:r>
      <w:r>
        <w:rPr>
          <w:i/>
          <w:szCs w:val="24"/>
        </w:rPr>
        <w:t>Codex, 6</w:t>
      </w:r>
      <w:r>
        <w:rPr>
          <w:szCs w:val="24"/>
        </w:rPr>
        <w:t>(1), pp.</w:t>
      </w:r>
      <w:r>
        <w:rPr>
          <w:szCs w:val="24"/>
        </w:rPr>
        <w:t xml:space="preserve"> 77-</w:t>
      </w:r>
      <w:r w:rsidR="003136A7">
        <w:rPr>
          <w:szCs w:val="24"/>
        </w:rPr>
        <w:t>95.</w:t>
      </w:r>
      <w:bookmarkStart w:id="0" w:name="_GoBack"/>
      <w:bookmarkEnd w:id="0"/>
    </w:p>
    <w:p w:rsidR="00D22E1F" w:rsidRDefault="00D277F4" w:rsidP="00D277F4">
      <w:pPr>
        <w:spacing w:line="480" w:lineRule="auto"/>
        <w:jc w:val="center"/>
        <w:rPr>
          <w:b/>
          <w:szCs w:val="24"/>
        </w:rPr>
      </w:pPr>
      <w:r>
        <w:rPr>
          <w:b/>
          <w:szCs w:val="24"/>
        </w:rPr>
        <w:lastRenderedPageBreak/>
        <w:t>Introduction</w:t>
      </w:r>
    </w:p>
    <w:p w:rsidR="00476EC4" w:rsidRDefault="00476EC4" w:rsidP="00476EC4">
      <w:pPr>
        <w:spacing w:line="480" w:lineRule="auto"/>
        <w:ind w:firstLine="720"/>
        <w:rPr>
          <w:szCs w:val="24"/>
        </w:rPr>
      </w:pPr>
      <w:r>
        <w:rPr>
          <w:szCs w:val="24"/>
          <w:highlight w:val="white"/>
        </w:rPr>
        <w:t xml:space="preserve">Since its development in the nineteenth century, microphotography </w:t>
      </w:r>
      <w:proofErr w:type="gramStart"/>
      <w:r>
        <w:rPr>
          <w:szCs w:val="24"/>
          <w:highlight w:val="white"/>
        </w:rPr>
        <w:t>has been used</w:t>
      </w:r>
      <w:proofErr w:type="gramEnd"/>
      <w:r>
        <w:rPr>
          <w:szCs w:val="24"/>
          <w:highlight w:val="white"/>
        </w:rPr>
        <w:t xml:space="preserve"> for a variety of purposes. In 1839, English scientist John Benjamin Dancer began experimenting with the technology and later “sold microphotographs as slides to be viewed under a microscope” (</w:t>
      </w:r>
      <w:proofErr w:type="spellStart"/>
      <w:r>
        <w:rPr>
          <w:szCs w:val="24"/>
          <w:highlight w:val="white"/>
        </w:rPr>
        <w:t>Canepi</w:t>
      </w:r>
      <w:proofErr w:type="spellEnd"/>
      <w:r>
        <w:rPr>
          <w:szCs w:val="24"/>
          <w:highlight w:val="white"/>
        </w:rPr>
        <w:t xml:space="preserve"> et al., 2013, Historic Overview section). In the 1920s, the </w:t>
      </w:r>
      <w:proofErr w:type="spellStart"/>
      <w:r>
        <w:rPr>
          <w:szCs w:val="24"/>
          <w:highlight w:val="white"/>
        </w:rPr>
        <w:t>Checkograph</w:t>
      </w:r>
      <w:proofErr w:type="spellEnd"/>
      <w:r>
        <w:rPr>
          <w:szCs w:val="24"/>
          <w:highlight w:val="white"/>
        </w:rPr>
        <w:t xml:space="preserve"> machine, developed by banker George McCarthy, </w:t>
      </w:r>
      <w:proofErr w:type="gramStart"/>
      <w:r>
        <w:rPr>
          <w:szCs w:val="24"/>
          <w:highlight w:val="white"/>
        </w:rPr>
        <w:t>was designed</w:t>
      </w:r>
      <w:proofErr w:type="gramEnd"/>
      <w:r>
        <w:rPr>
          <w:szCs w:val="24"/>
          <w:highlight w:val="white"/>
        </w:rPr>
        <w:t xml:space="preserve"> to make copies of banking records on film for permanent storage (</w:t>
      </w:r>
      <w:proofErr w:type="spellStart"/>
      <w:r>
        <w:rPr>
          <w:szCs w:val="24"/>
          <w:highlight w:val="white"/>
        </w:rPr>
        <w:t>Canepi</w:t>
      </w:r>
      <w:proofErr w:type="spellEnd"/>
      <w:r>
        <w:rPr>
          <w:szCs w:val="24"/>
          <w:highlight w:val="white"/>
        </w:rPr>
        <w:t xml:space="preserve"> et al., 2013). Microphotography </w:t>
      </w:r>
      <w:proofErr w:type="gramStart"/>
      <w:r>
        <w:rPr>
          <w:szCs w:val="24"/>
          <w:highlight w:val="white"/>
        </w:rPr>
        <w:t>has also been used</w:t>
      </w:r>
      <w:proofErr w:type="gramEnd"/>
      <w:r>
        <w:rPr>
          <w:szCs w:val="24"/>
          <w:highlight w:val="white"/>
        </w:rPr>
        <w:t xml:space="preserve"> in times of war. During the Franco-Prussian War, carrier pigeons flew microfilmed messages across enemy lines into Paris. During World War II, the Victory Mail system used microphotography to transport personal and official messages to the U.S. soldiers stationed overseas (</w:t>
      </w:r>
      <w:proofErr w:type="spellStart"/>
      <w:r>
        <w:rPr>
          <w:szCs w:val="24"/>
          <w:highlight w:val="white"/>
        </w:rPr>
        <w:t>Canepi</w:t>
      </w:r>
      <w:proofErr w:type="spellEnd"/>
      <w:r>
        <w:rPr>
          <w:szCs w:val="24"/>
          <w:highlight w:val="white"/>
        </w:rPr>
        <w:t xml:space="preserve"> et al., 2013). </w:t>
      </w:r>
    </w:p>
    <w:p w:rsidR="00476EC4" w:rsidRDefault="00476EC4" w:rsidP="00476EC4">
      <w:pPr>
        <w:spacing w:line="480" w:lineRule="auto"/>
        <w:ind w:firstLine="720"/>
        <w:rPr>
          <w:szCs w:val="24"/>
        </w:rPr>
      </w:pPr>
      <w:r>
        <w:rPr>
          <w:szCs w:val="24"/>
        </w:rPr>
        <w:t xml:space="preserve">During the 1930s, the use of microphotography in libraries as a preservation tool gained strength, and in 1936, the American Library Association adopted microforms as an </w:t>
      </w:r>
      <w:proofErr w:type="gramStart"/>
      <w:r>
        <w:rPr>
          <w:szCs w:val="24"/>
        </w:rPr>
        <w:t>accepted  information</w:t>
      </w:r>
      <w:proofErr w:type="gramEnd"/>
      <w:r>
        <w:rPr>
          <w:szCs w:val="24"/>
        </w:rPr>
        <w:t xml:space="preserve"> storage method (Westcott, 2017). Two years later, Harvard University adopted the technology to preserve the foreign newspapers in their collections as part of their Foreign Newspaper Microfilm Project (Simon, 2006). In 1938, University Microfilms International expanded their offerings to libraries when it began microfilming doctoral dissertations (</w:t>
      </w:r>
      <w:proofErr w:type="spellStart"/>
      <w:r>
        <w:rPr>
          <w:szCs w:val="24"/>
        </w:rPr>
        <w:t>Canepi</w:t>
      </w:r>
      <w:proofErr w:type="spellEnd"/>
      <w:r>
        <w:rPr>
          <w:szCs w:val="24"/>
        </w:rPr>
        <w:t xml:space="preserve"> et al., 2013). After World War II, concerns over the possible destruction of irreplaceable cultural materials and archives led to organized microfilming preservation projects across the United States (</w:t>
      </w:r>
      <w:proofErr w:type="spellStart"/>
      <w:r>
        <w:rPr>
          <w:szCs w:val="24"/>
        </w:rPr>
        <w:t>Canepi</w:t>
      </w:r>
      <w:proofErr w:type="spellEnd"/>
      <w:r>
        <w:rPr>
          <w:szCs w:val="24"/>
        </w:rPr>
        <w:t xml:space="preserve"> et al., 2013). </w:t>
      </w:r>
    </w:p>
    <w:p w:rsidR="00476EC4" w:rsidRDefault="00476EC4" w:rsidP="00476EC4">
      <w:pPr>
        <w:spacing w:line="480" w:lineRule="auto"/>
        <w:ind w:firstLine="720"/>
        <w:rPr>
          <w:szCs w:val="24"/>
        </w:rPr>
      </w:pPr>
      <w:r>
        <w:rPr>
          <w:szCs w:val="24"/>
        </w:rPr>
        <w:t xml:space="preserve">Throughout the twentieth century, several factors contributed to the growth of library microform collections. In the 1950s and 1960s, newly developed “uniform testing standards by the Library of Congress (LC), the availability of grant funds for both </w:t>
      </w:r>
      <w:r>
        <w:rPr>
          <w:szCs w:val="24"/>
        </w:rPr>
        <w:lastRenderedPageBreak/>
        <w:t>production and purchase, and the introduction of reprographic equipment by companies such as Xerox and Kodak” (</w:t>
      </w:r>
      <w:proofErr w:type="spellStart"/>
      <w:r>
        <w:rPr>
          <w:szCs w:val="24"/>
        </w:rPr>
        <w:t>Canepi</w:t>
      </w:r>
      <w:proofErr w:type="spellEnd"/>
      <w:r>
        <w:rPr>
          <w:szCs w:val="24"/>
        </w:rPr>
        <w:t xml:space="preserve"> et al., 2013, Historic Overview section) contributed to the widespread acquisition of microforms by libraries and archives. In the 1970s, it was “new standards, the passage of a new copyright law, and the appearance of cheaper, higher-quality film types” (</w:t>
      </w:r>
      <w:proofErr w:type="spellStart"/>
      <w:r>
        <w:rPr>
          <w:szCs w:val="24"/>
        </w:rPr>
        <w:t>Canepi</w:t>
      </w:r>
      <w:proofErr w:type="spellEnd"/>
      <w:r>
        <w:rPr>
          <w:szCs w:val="24"/>
        </w:rPr>
        <w:t xml:space="preserve"> et al., 2013, Historic Overview section) as well as the emergence of micropublishers. Finally, the National Endowment for the Humanities-funded Brittle Books Program and United States Newspaper Project in the 1980s and 1990s played a role in the continued integration of microforms into library collections.</w:t>
      </w:r>
    </w:p>
    <w:p w:rsidR="00476EC4" w:rsidRDefault="00476EC4" w:rsidP="00F66141">
      <w:pPr>
        <w:spacing w:line="480" w:lineRule="auto"/>
        <w:ind w:firstLine="720"/>
        <w:rPr>
          <w:b/>
          <w:szCs w:val="24"/>
        </w:rPr>
      </w:pPr>
      <w:r>
        <w:rPr>
          <w:szCs w:val="24"/>
          <w:highlight w:val="white"/>
        </w:rPr>
        <w:t xml:space="preserve">Microforms have served many functions within libraries and archives, primarily to save space and preserve rare materials. While the benefits to libraries are substantial, unfortunately, microform materials are susceptible to damage and deterioration over time, resulting in a tremendous loss of information. This article discusses the efforts at the University of Louisiana at Lafayette’s Edith Garland </w:t>
      </w:r>
      <w:proofErr w:type="spellStart"/>
      <w:r>
        <w:rPr>
          <w:szCs w:val="24"/>
          <w:highlight w:val="white"/>
        </w:rPr>
        <w:t>Dupré</w:t>
      </w:r>
      <w:proofErr w:type="spellEnd"/>
      <w:r>
        <w:rPr>
          <w:szCs w:val="24"/>
          <w:highlight w:val="white"/>
        </w:rPr>
        <w:t xml:space="preserve"> Library to manage significant damage to its microform holdings. Based on personal experiences and rooted in practices documented in the research literature, the author identifies best practices and a number of remediation options for managing deteriorating microform collections in libraries and archives. </w:t>
      </w:r>
    </w:p>
    <w:p w:rsidR="00476EC4" w:rsidRDefault="00476EC4" w:rsidP="00476EC4">
      <w:pPr>
        <w:jc w:val="center"/>
        <w:rPr>
          <w:b/>
          <w:szCs w:val="24"/>
        </w:rPr>
      </w:pPr>
      <w:r>
        <w:rPr>
          <w:b/>
          <w:szCs w:val="24"/>
        </w:rPr>
        <w:t>Microform Composition</w:t>
      </w:r>
    </w:p>
    <w:p w:rsidR="00476EC4" w:rsidRDefault="00476EC4" w:rsidP="00476EC4">
      <w:pPr>
        <w:jc w:val="center"/>
        <w:rPr>
          <w:b/>
          <w:szCs w:val="24"/>
        </w:rPr>
      </w:pPr>
    </w:p>
    <w:p w:rsidR="00476EC4" w:rsidRDefault="00476EC4" w:rsidP="00476EC4">
      <w:pPr>
        <w:shd w:val="clear" w:color="auto" w:fill="FFFFFF"/>
        <w:spacing w:line="480" w:lineRule="auto"/>
        <w:ind w:firstLine="720"/>
        <w:rPr>
          <w:szCs w:val="24"/>
        </w:rPr>
      </w:pPr>
      <w:r>
        <w:rPr>
          <w:szCs w:val="24"/>
        </w:rPr>
        <w:t>To take advantage of the growing microphotography industry of the twentieth century, microform vendors began developing many different products. These included “hybrid microform solutions including aperture cards, micro-</w:t>
      </w:r>
      <w:proofErr w:type="spellStart"/>
      <w:r>
        <w:rPr>
          <w:szCs w:val="24"/>
        </w:rPr>
        <w:t>opaques</w:t>
      </w:r>
      <w:proofErr w:type="spellEnd"/>
      <w:r>
        <w:rPr>
          <w:szCs w:val="24"/>
        </w:rPr>
        <w:t xml:space="preserve">, </w:t>
      </w:r>
      <w:proofErr w:type="spellStart"/>
      <w:r>
        <w:rPr>
          <w:szCs w:val="24"/>
        </w:rPr>
        <w:t>ultrafiche</w:t>
      </w:r>
      <w:proofErr w:type="spellEnd"/>
      <w:r>
        <w:rPr>
          <w:szCs w:val="24"/>
        </w:rPr>
        <w:t xml:space="preserve">, </w:t>
      </w:r>
      <w:proofErr w:type="gramStart"/>
      <w:r>
        <w:rPr>
          <w:szCs w:val="24"/>
        </w:rPr>
        <w:t>jacket</w:t>
      </w:r>
      <w:proofErr w:type="gramEnd"/>
      <w:r>
        <w:rPr>
          <w:szCs w:val="24"/>
        </w:rPr>
        <w:t xml:space="preserve"> fiche, diazo, vesicular and silver technologies” (Westcott, 2017, p. 2). While many were not as popular, libraries and </w:t>
      </w:r>
      <w:proofErr w:type="gramStart"/>
      <w:r>
        <w:rPr>
          <w:szCs w:val="24"/>
        </w:rPr>
        <w:t>archives</w:t>
      </w:r>
      <w:proofErr w:type="gramEnd"/>
      <w:r>
        <w:rPr>
          <w:szCs w:val="24"/>
        </w:rPr>
        <w:t xml:space="preserve"> everywhere incorporated microfilm and microfiche </w:t>
      </w:r>
      <w:r>
        <w:rPr>
          <w:szCs w:val="24"/>
        </w:rPr>
        <w:lastRenderedPageBreak/>
        <w:t xml:space="preserve">materials into their collections. </w:t>
      </w:r>
      <w:r w:rsidR="00F66141">
        <w:rPr>
          <w:szCs w:val="24"/>
        </w:rPr>
        <w:t xml:space="preserve">Westcott (2017) notes: </w:t>
      </w:r>
      <w:r>
        <w:rPr>
          <w:szCs w:val="24"/>
        </w:rPr>
        <w:t>“So began the creation of billions of microfilm reels and custom microforms containing trillions of images of do</w:t>
      </w:r>
      <w:r w:rsidR="00F66141">
        <w:rPr>
          <w:szCs w:val="24"/>
        </w:rPr>
        <w:t>cument pages'' (</w:t>
      </w:r>
      <w:r>
        <w:rPr>
          <w:szCs w:val="24"/>
        </w:rPr>
        <w:t xml:space="preserve">p. </w:t>
      </w:r>
      <w:r w:rsidRPr="00F66141">
        <w:rPr>
          <w:szCs w:val="24"/>
        </w:rPr>
        <w:t xml:space="preserve">2). </w:t>
      </w:r>
    </w:p>
    <w:p w:rsidR="00476EC4" w:rsidRDefault="00476EC4" w:rsidP="00476EC4">
      <w:pPr>
        <w:shd w:val="clear" w:color="auto" w:fill="FFFFFF"/>
        <w:spacing w:line="480" w:lineRule="auto"/>
        <w:ind w:firstLine="720"/>
        <w:rPr>
          <w:szCs w:val="24"/>
        </w:rPr>
      </w:pPr>
      <w:r>
        <w:rPr>
          <w:szCs w:val="24"/>
        </w:rPr>
        <w:t>Regardless of the format, all microform materials consist of three components: “a base, an emulsion and a binder that adheres the emulsion to the base” (</w:t>
      </w:r>
      <w:proofErr w:type="spellStart"/>
      <w:r>
        <w:rPr>
          <w:szCs w:val="24"/>
        </w:rPr>
        <w:t>Canepi</w:t>
      </w:r>
      <w:proofErr w:type="spellEnd"/>
      <w:r>
        <w:rPr>
          <w:szCs w:val="24"/>
        </w:rPr>
        <w:t xml:space="preserve"> et al., 2013, Composition of Microfilm section). Several film bases </w:t>
      </w:r>
      <w:proofErr w:type="gramStart"/>
      <w:r>
        <w:rPr>
          <w:szCs w:val="24"/>
        </w:rPr>
        <w:t>have been used</w:t>
      </w:r>
      <w:proofErr w:type="gramEnd"/>
      <w:r>
        <w:rPr>
          <w:szCs w:val="24"/>
        </w:rPr>
        <w:t xml:space="preserve"> in microform production. Early films </w:t>
      </w:r>
      <w:proofErr w:type="gramStart"/>
      <w:r>
        <w:rPr>
          <w:szCs w:val="24"/>
        </w:rPr>
        <w:t>were produced</w:t>
      </w:r>
      <w:proofErr w:type="gramEnd"/>
      <w:r>
        <w:rPr>
          <w:szCs w:val="24"/>
        </w:rPr>
        <w:t xml:space="preserve"> using a cellulose nitrate base. However, by 1950, that practice </w:t>
      </w:r>
      <w:proofErr w:type="gramStart"/>
      <w:r>
        <w:rPr>
          <w:szCs w:val="24"/>
        </w:rPr>
        <w:t>was discontinued</w:t>
      </w:r>
      <w:proofErr w:type="gramEnd"/>
      <w:r>
        <w:rPr>
          <w:szCs w:val="24"/>
        </w:rPr>
        <w:t xml:space="preserve"> due to cellulose nitrate's tendency to spontaneously combust when improperly stored (Westcott, 2017). The use of acetate film became the norm from the 1950s to the mid-1980s. While safer than cellulose nitrate, acetate-based materials, it </w:t>
      </w:r>
      <w:proofErr w:type="gramStart"/>
      <w:r>
        <w:rPr>
          <w:szCs w:val="24"/>
        </w:rPr>
        <w:t>was later discovered</w:t>
      </w:r>
      <w:proofErr w:type="gramEnd"/>
      <w:r>
        <w:rPr>
          <w:szCs w:val="24"/>
        </w:rPr>
        <w:t xml:space="preserve">, are highly susceptible to deterioration. The deterioration of acetate materials </w:t>
      </w:r>
      <w:proofErr w:type="gramStart"/>
      <w:r>
        <w:rPr>
          <w:szCs w:val="24"/>
        </w:rPr>
        <w:t>will be discussed</w:t>
      </w:r>
      <w:proofErr w:type="gramEnd"/>
      <w:r>
        <w:rPr>
          <w:szCs w:val="24"/>
        </w:rPr>
        <w:t xml:space="preserve"> in more detail later in this article. Today, polyester-based film is standard in microfilm production because it is chemically stable and durable (</w:t>
      </w:r>
      <w:proofErr w:type="spellStart"/>
      <w:r>
        <w:rPr>
          <w:szCs w:val="24"/>
        </w:rPr>
        <w:t>Canepi</w:t>
      </w:r>
      <w:proofErr w:type="spellEnd"/>
      <w:r>
        <w:rPr>
          <w:szCs w:val="24"/>
        </w:rPr>
        <w:t xml:space="preserve"> et al., 2013). </w:t>
      </w:r>
    </w:p>
    <w:p w:rsidR="00476EC4" w:rsidRDefault="00476EC4" w:rsidP="004D428B">
      <w:pPr>
        <w:shd w:val="clear" w:color="auto" w:fill="FFFFFF"/>
        <w:spacing w:line="480" w:lineRule="auto"/>
        <w:ind w:firstLine="720"/>
        <w:rPr>
          <w:szCs w:val="24"/>
        </w:rPr>
      </w:pPr>
      <w:r>
        <w:rPr>
          <w:szCs w:val="24"/>
        </w:rPr>
        <w:t xml:space="preserve"> The emulsion layer contains the film's image, with the most used emulsions being silver halide, diazo, and vesicular. Silver halide microfilm features grains of silver suspended in gelatin and </w:t>
      </w:r>
      <w:proofErr w:type="gramStart"/>
      <w:r>
        <w:rPr>
          <w:szCs w:val="24"/>
        </w:rPr>
        <w:t>is recommended</w:t>
      </w:r>
      <w:proofErr w:type="gramEnd"/>
      <w:r>
        <w:rPr>
          <w:szCs w:val="24"/>
        </w:rPr>
        <w:t xml:space="preserve"> for preservation copies because it creates the most exact reproductions (</w:t>
      </w:r>
      <w:proofErr w:type="spellStart"/>
      <w:r>
        <w:rPr>
          <w:szCs w:val="24"/>
        </w:rPr>
        <w:t>Canepi</w:t>
      </w:r>
      <w:proofErr w:type="spellEnd"/>
      <w:r>
        <w:rPr>
          <w:szCs w:val="24"/>
        </w:rPr>
        <w:t xml:space="preserve"> et al., 2013). Silver halide film has a life expectancy of 500 years if stored properly. Diazo emulsions use "</w:t>
      </w:r>
      <w:proofErr w:type="spellStart"/>
      <w:r>
        <w:rPr>
          <w:szCs w:val="24"/>
        </w:rPr>
        <w:t>diazonium</w:t>
      </w:r>
      <w:proofErr w:type="spellEnd"/>
      <w:r>
        <w:rPr>
          <w:szCs w:val="24"/>
        </w:rPr>
        <w:t xml:space="preserve"> salts in the film emulsion combine with dye couplers to produce strong, dense colors" (Institute of Museum and Library Services, </w:t>
      </w:r>
      <w:proofErr w:type="spellStart"/>
      <w:r>
        <w:rPr>
          <w:szCs w:val="24"/>
        </w:rPr>
        <w:t>n.d.</w:t>
      </w:r>
      <w:proofErr w:type="spellEnd"/>
      <w:r>
        <w:rPr>
          <w:szCs w:val="24"/>
        </w:rPr>
        <w:t xml:space="preserve">, Diazo Microfilm section). The diazo film will quickly fade upon exposure to light, making it unsuitable for rare and irreplaceable materials. Vesicular microfilm uses heat to form bubbles that remain after cooling to create the image and is </w:t>
      </w:r>
      <w:r>
        <w:rPr>
          <w:szCs w:val="24"/>
        </w:rPr>
        <w:lastRenderedPageBreak/>
        <w:t xml:space="preserve">vulnerable to extreme heat (Institute of Museum and Library Services, </w:t>
      </w:r>
      <w:proofErr w:type="spellStart"/>
      <w:r>
        <w:rPr>
          <w:szCs w:val="24"/>
        </w:rPr>
        <w:t>n.d.</w:t>
      </w:r>
      <w:proofErr w:type="spellEnd"/>
      <w:r>
        <w:rPr>
          <w:szCs w:val="24"/>
        </w:rPr>
        <w:t xml:space="preserve">). </w:t>
      </w:r>
    </w:p>
    <w:p w:rsidR="00476EC4" w:rsidRDefault="00476EC4" w:rsidP="00476EC4">
      <w:pPr>
        <w:jc w:val="center"/>
        <w:rPr>
          <w:b/>
          <w:szCs w:val="24"/>
        </w:rPr>
      </w:pPr>
      <w:r>
        <w:rPr>
          <w:b/>
          <w:szCs w:val="24"/>
        </w:rPr>
        <w:t xml:space="preserve">History of Microforms at Edith Garland </w:t>
      </w:r>
      <w:proofErr w:type="spellStart"/>
      <w:r>
        <w:rPr>
          <w:b/>
          <w:szCs w:val="24"/>
        </w:rPr>
        <w:t>Dupré</w:t>
      </w:r>
      <w:proofErr w:type="spellEnd"/>
      <w:r>
        <w:rPr>
          <w:szCs w:val="24"/>
        </w:rPr>
        <w:t xml:space="preserve"> </w:t>
      </w:r>
      <w:r>
        <w:rPr>
          <w:b/>
          <w:szCs w:val="24"/>
        </w:rPr>
        <w:t>Library</w:t>
      </w:r>
    </w:p>
    <w:p w:rsidR="00476EC4" w:rsidRDefault="00476EC4" w:rsidP="00476EC4">
      <w:pPr>
        <w:jc w:val="center"/>
        <w:rPr>
          <w:b/>
          <w:szCs w:val="24"/>
        </w:rPr>
      </w:pPr>
    </w:p>
    <w:p w:rsidR="00476EC4" w:rsidRDefault="00476EC4" w:rsidP="00476EC4">
      <w:pPr>
        <w:shd w:val="clear" w:color="auto" w:fill="FFFFFF"/>
        <w:spacing w:line="480" w:lineRule="auto"/>
        <w:ind w:firstLine="720"/>
        <w:rPr>
          <w:szCs w:val="24"/>
        </w:rPr>
      </w:pPr>
      <w:r>
        <w:rPr>
          <w:szCs w:val="24"/>
        </w:rPr>
        <w:t xml:space="preserve">The Microforms Department (Microforms) at the University of Louisiana at Lafayette’s Edith Garland </w:t>
      </w:r>
      <w:proofErr w:type="spellStart"/>
      <w:r>
        <w:rPr>
          <w:szCs w:val="24"/>
        </w:rPr>
        <w:t>Dupré</w:t>
      </w:r>
      <w:proofErr w:type="spellEnd"/>
      <w:r>
        <w:rPr>
          <w:szCs w:val="24"/>
        </w:rPr>
        <w:t xml:space="preserve"> Library houses most of the library’s microforms collection. Over the years, the department has shifted within the library’s organizational chart. In the 1980s and 1990s, Microforms functioned as part of the Public Services’ Reference Support Services Department. After a reorganization of library departments and personnel in 2000, the department moved under the Special Collections umbrella. In 2018, following the department head’s retirement after 47 years, Microforms moved under Reference and Research Services' direction. Today, the Microforms Library Specialist Supervisor and the Head of Reference and Research Services oversee the department’s operations. </w:t>
      </w:r>
    </w:p>
    <w:p w:rsidR="00476EC4" w:rsidRDefault="00476EC4" w:rsidP="00476EC4">
      <w:pPr>
        <w:shd w:val="clear" w:color="auto" w:fill="FFFFFF"/>
        <w:spacing w:line="480" w:lineRule="auto"/>
        <w:ind w:firstLine="720"/>
        <w:rPr>
          <w:szCs w:val="24"/>
        </w:rPr>
      </w:pPr>
      <w:r>
        <w:rPr>
          <w:szCs w:val="24"/>
        </w:rPr>
        <w:t xml:space="preserve">Originally located on </w:t>
      </w:r>
      <w:proofErr w:type="spellStart"/>
      <w:r>
        <w:rPr>
          <w:szCs w:val="24"/>
        </w:rPr>
        <w:t>Dupré</w:t>
      </w:r>
      <w:proofErr w:type="spellEnd"/>
      <w:r>
        <w:rPr>
          <w:szCs w:val="24"/>
        </w:rPr>
        <w:t xml:space="preserve"> Library’s second floor, Microforms moved to its current first-floor location after building renovations </w:t>
      </w:r>
      <w:proofErr w:type="gramStart"/>
      <w:r>
        <w:rPr>
          <w:szCs w:val="24"/>
        </w:rPr>
        <w:t>were completed</w:t>
      </w:r>
      <w:proofErr w:type="gramEnd"/>
      <w:r>
        <w:rPr>
          <w:szCs w:val="24"/>
        </w:rPr>
        <w:t xml:space="preserve"> in 2000. A review of annual reports shows the library’s microforms collection had steady growth from 1978 to 2005. At its peak, </w:t>
      </w:r>
      <w:proofErr w:type="spellStart"/>
      <w:r>
        <w:rPr>
          <w:szCs w:val="24"/>
        </w:rPr>
        <w:t>Dupré</w:t>
      </w:r>
      <w:proofErr w:type="spellEnd"/>
      <w:r>
        <w:rPr>
          <w:szCs w:val="24"/>
        </w:rPr>
        <w:t xml:space="preserve"> Library housed two million microform units in both Microforms and Special Collections. The library’s collection features formats, including microfilm, microfiche, and </w:t>
      </w:r>
      <w:proofErr w:type="spellStart"/>
      <w:r>
        <w:rPr>
          <w:szCs w:val="24"/>
        </w:rPr>
        <w:t>microcard</w:t>
      </w:r>
      <w:proofErr w:type="spellEnd"/>
      <w:r>
        <w:rPr>
          <w:szCs w:val="24"/>
        </w:rPr>
        <w:t xml:space="preserve">. Resources include state, national, and international newspapers, popular and scholarly periodicals, and documents and reports from many federal government agencies. </w:t>
      </w:r>
    </w:p>
    <w:p w:rsidR="00476EC4" w:rsidRDefault="00476EC4" w:rsidP="00476EC4">
      <w:pPr>
        <w:shd w:val="clear" w:color="auto" w:fill="FFFFFF"/>
        <w:spacing w:line="480" w:lineRule="auto"/>
        <w:ind w:firstLine="720"/>
        <w:rPr>
          <w:szCs w:val="24"/>
        </w:rPr>
      </w:pPr>
      <w:r>
        <w:rPr>
          <w:szCs w:val="24"/>
        </w:rPr>
        <w:t xml:space="preserve">An examination of the usage of </w:t>
      </w:r>
      <w:proofErr w:type="spellStart"/>
      <w:r>
        <w:rPr>
          <w:szCs w:val="24"/>
        </w:rPr>
        <w:t>Dupré</w:t>
      </w:r>
      <w:proofErr w:type="spellEnd"/>
      <w:r>
        <w:rPr>
          <w:szCs w:val="24"/>
        </w:rPr>
        <w:t xml:space="preserve"> Library’s microforms collection from 1980 to 2020 reflects the trend of information moving from predominantly print-based to electronic format. Statistics included in library annual reports from 1980 to 1999 show </w:t>
      </w:r>
      <w:r>
        <w:rPr>
          <w:szCs w:val="24"/>
        </w:rPr>
        <w:lastRenderedPageBreak/>
        <w:t xml:space="preserve">436,815 recorded uses of items in the microforms collection. As more information became accessible on the Internet and the library began to provide electronic databases as research tools, microforms usage dropped substantially. From 1999 to 2020, usage was down to 48,334, representing an 89% decrease from the previous nineteen years. The library's closure during most of 2020 in response to the COVID-19 pandemic resulted in a dramatic drop in microform collection use with </w:t>
      </w:r>
      <w:proofErr w:type="gramStart"/>
      <w:r>
        <w:rPr>
          <w:szCs w:val="24"/>
        </w:rPr>
        <w:t>a total of 23</w:t>
      </w:r>
      <w:proofErr w:type="gramEnd"/>
      <w:r>
        <w:rPr>
          <w:szCs w:val="24"/>
        </w:rPr>
        <w:t xml:space="preserve"> from January to July. </w:t>
      </w:r>
    </w:p>
    <w:p w:rsidR="00476EC4" w:rsidRDefault="00476EC4" w:rsidP="00476EC4">
      <w:pPr>
        <w:ind w:firstLine="720"/>
        <w:rPr>
          <w:b/>
          <w:szCs w:val="24"/>
        </w:rPr>
      </w:pPr>
      <w:r>
        <w:rPr>
          <w:noProof/>
          <w:szCs w:val="24"/>
        </w:rPr>
        <w:drawing>
          <wp:inline distT="114300" distB="114300" distL="114300" distR="114300" wp14:anchorId="480E7819" wp14:editId="6E222C6C">
            <wp:extent cx="5029200" cy="3116308"/>
            <wp:effectExtent l="25400" t="25400" r="25400" b="25400"/>
            <wp:docPr id="5" name="image1.png" descr="Chart"/>
            <wp:cNvGraphicFramePr/>
            <a:graphic xmlns:a="http://schemas.openxmlformats.org/drawingml/2006/main">
              <a:graphicData uri="http://schemas.openxmlformats.org/drawingml/2006/picture">
                <pic:pic xmlns:pic="http://schemas.openxmlformats.org/drawingml/2006/picture">
                  <pic:nvPicPr>
                    <pic:cNvPr id="0" name="image1.png" descr="Chart"/>
                    <pic:cNvPicPr preferRelativeResize="0"/>
                  </pic:nvPicPr>
                  <pic:blipFill>
                    <a:blip r:embed="rId8"/>
                    <a:srcRect/>
                    <a:stretch>
                      <a:fillRect/>
                    </a:stretch>
                  </pic:blipFill>
                  <pic:spPr>
                    <a:xfrm>
                      <a:off x="0" y="0"/>
                      <a:ext cx="5029200" cy="3116308"/>
                    </a:xfrm>
                    <a:prstGeom prst="rect">
                      <a:avLst/>
                    </a:prstGeom>
                    <a:ln w="25400">
                      <a:solidFill>
                        <a:srgbClr val="000000"/>
                      </a:solidFill>
                      <a:prstDash val="solid"/>
                    </a:ln>
                  </pic:spPr>
                </pic:pic>
              </a:graphicData>
            </a:graphic>
          </wp:inline>
        </w:drawing>
      </w:r>
    </w:p>
    <w:p w:rsidR="00476EC4" w:rsidRDefault="00476EC4" w:rsidP="00476EC4">
      <w:pPr>
        <w:ind w:firstLine="720"/>
        <w:jc w:val="center"/>
        <w:rPr>
          <w:b/>
          <w:i/>
        </w:rPr>
      </w:pPr>
      <w:r>
        <w:rPr>
          <w:b/>
          <w:i/>
        </w:rPr>
        <w:t>**Annual Report not available FY 2007-2008.</w:t>
      </w:r>
    </w:p>
    <w:p w:rsidR="00476EC4" w:rsidRDefault="00476EC4" w:rsidP="00476EC4">
      <w:pPr>
        <w:ind w:firstLine="720"/>
        <w:rPr>
          <w:szCs w:val="24"/>
        </w:rPr>
      </w:pPr>
    </w:p>
    <w:p w:rsidR="00476EC4" w:rsidRDefault="00476EC4" w:rsidP="00A30B5C">
      <w:pPr>
        <w:spacing w:line="480" w:lineRule="auto"/>
        <w:ind w:firstLine="720"/>
        <w:rPr>
          <w:b/>
          <w:szCs w:val="24"/>
        </w:rPr>
      </w:pPr>
      <w:r>
        <w:rPr>
          <w:szCs w:val="24"/>
          <w:highlight w:val="white"/>
        </w:rPr>
        <w:t xml:space="preserve">Aside from the electronic availability of newspapers and periodicals, other reasons explain the decline of microforms usage at </w:t>
      </w:r>
      <w:proofErr w:type="spellStart"/>
      <w:r>
        <w:rPr>
          <w:szCs w:val="24"/>
          <w:highlight w:val="white"/>
        </w:rPr>
        <w:t>Dupré</w:t>
      </w:r>
      <w:proofErr w:type="spellEnd"/>
      <w:r>
        <w:rPr>
          <w:szCs w:val="24"/>
          <w:highlight w:val="white"/>
        </w:rPr>
        <w:t xml:space="preserve"> Library. Perhaps the most influential was the discard of the library’s </w:t>
      </w:r>
      <w:r>
        <w:rPr>
          <w:i/>
          <w:szCs w:val="24"/>
          <w:highlight w:val="white"/>
        </w:rPr>
        <w:t>Daily Advertiser</w:t>
      </w:r>
      <w:r>
        <w:rPr>
          <w:szCs w:val="24"/>
          <w:highlight w:val="white"/>
        </w:rPr>
        <w:t xml:space="preserve"> holdings on microfilm due to extreme deterioration, first partially in 2016 and then completely in 2018. </w:t>
      </w:r>
      <w:proofErr w:type="spellStart"/>
      <w:r>
        <w:rPr>
          <w:szCs w:val="24"/>
          <w:highlight w:val="white"/>
        </w:rPr>
        <w:t>Dupré</w:t>
      </w:r>
      <w:proofErr w:type="spellEnd"/>
      <w:r>
        <w:rPr>
          <w:szCs w:val="24"/>
          <w:highlight w:val="white"/>
        </w:rPr>
        <w:t xml:space="preserve"> Library was the only library in the </w:t>
      </w:r>
      <w:proofErr w:type="spellStart"/>
      <w:r>
        <w:rPr>
          <w:szCs w:val="24"/>
          <w:highlight w:val="white"/>
        </w:rPr>
        <w:t>Acadiana</w:t>
      </w:r>
      <w:proofErr w:type="spellEnd"/>
      <w:r>
        <w:rPr>
          <w:szCs w:val="24"/>
          <w:highlight w:val="white"/>
        </w:rPr>
        <w:t xml:space="preserve"> area that housed the </w:t>
      </w:r>
      <w:r>
        <w:rPr>
          <w:i/>
          <w:szCs w:val="24"/>
          <w:highlight w:val="white"/>
        </w:rPr>
        <w:t>Daily Advertiser</w:t>
      </w:r>
      <w:r>
        <w:rPr>
          <w:szCs w:val="24"/>
          <w:highlight w:val="white"/>
        </w:rPr>
        <w:t xml:space="preserve"> </w:t>
      </w:r>
      <w:proofErr w:type="spellStart"/>
      <w:r>
        <w:rPr>
          <w:szCs w:val="24"/>
          <w:highlight w:val="white"/>
        </w:rPr>
        <w:t>backfiles</w:t>
      </w:r>
      <w:proofErr w:type="spellEnd"/>
      <w:r>
        <w:rPr>
          <w:szCs w:val="24"/>
          <w:highlight w:val="white"/>
        </w:rPr>
        <w:t xml:space="preserve"> from the late 1860s to the mid-2000s. For decades, users from the community requested articles and obituaries published in the newspaper. With its holdings now gone, the </w:t>
      </w:r>
      <w:r>
        <w:rPr>
          <w:szCs w:val="24"/>
          <w:highlight w:val="white"/>
        </w:rPr>
        <w:lastRenderedPageBreak/>
        <w:t xml:space="preserve">library could no longer fulfill these once-popular requests. Another contributing factor to the decline in microforms usage was the retirement of a UL Lafayette history professor who required her students to use historical resources, many of which were only available on microfilm, to complete class assignments. Lastly, </w:t>
      </w:r>
      <w:proofErr w:type="gramStart"/>
      <w:r>
        <w:rPr>
          <w:szCs w:val="24"/>
          <w:highlight w:val="white"/>
        </w:rPr>
        <w:t>a reduction in undergraduate students using the collection to complete scavenger hunts instructing them to print the front page of a newspaper published on the day they were born has been noted by library staff</w:t>
      </w:r>
      <w:proofErr w:type="gramEnd"/>
      <w:r>
        <w:rPr>
          <w:szCs w:val="24"/>
          <w:highlight w:val="white"/>
        </w:rPr>
        <w:t xml:space="preserve"> for the last several years. </w:t>
      </w:r>
    </w:p>
    <w:p w:rsidR="00476EC4" w:rsidRDefault="00476EC4" w:rsidP="00476EC4">
      <w:pPr>
        <w:rPr>
          <w:b/>
          <w:szCs w:val="24"/>
        </w:rPr>
      </w:pPr>
      <w:r>
        <w:rPr>
          <w:b/>
          <w:szCs w:val="24"/>
        </w:rPr>
        <w:t xml:space="preserve">Signs of Microfilm Deterioration </w:t>
      </w:r>
    </w:p>
    <w:p w:rsidR="00476EC4" w:rsidRDefault="00476EC4" w:rsidP="00476EC4">
      <w:pPr>
        <w:rPr>
          <w:b/>
          <w:szCs w:val="24"/>
        </w:rPr>
      </w:pPr>
    </w:p>
    <w:p w:rsidR="00476EC4" w:rsidRDefault="00476EC4" w:rsidP="00476EC4">
      <w:pPr>
        <w:shd w:val="clear" w:color="auto" w:fill="FFFFFF"/>
        <w:spacing w:line="480" w:lineRule="auto"/>
        <w:ind w:firstLine="720"/>
        <w:rPr>
          <w:szCs w:val="24"/>
        </w:rPr>
      </w:pPr>
      <w:r>
        <w:rPr>
          <w:color w:val="0E101A"/>
          <w:szCs w:val="24"/>
        </w:rPr>
        <w:t xml:space="preserve">Evidence of microfilm deterioration at </w:t>
      </w:r>
      <w:proofErr w:type="spellStart"/>
      <w:r>
        <w:rPr>
          <w:color w:val="0E101A"/>
          <w:szCs w:val="24"/>
        </w:rPr>
        <w:t>Dupré</w:t>
      </w:r>
      <w:proofErr w:type="spellEnd"/>
      <w:r>
        <w:rPr>
          <w:color w:val="0E101A"/>
          <w:szCs w:val="24"/>
        </w:rPr>
        <w:t xml:space="preserve"> Library </w:t>
      </w:r>
      <w:proofErr w:type="gramStart"/>
      <w:r>
        <w:rPr>
          <w:color w:val="0E101A"/>
          <w:szCs w:val="24"/>
        </w:rPr>
        <w:t>was reported</w:t>
      </w:r>
      <w:proofErr w:type="gramEnd"/>
      <w:r>
        <w:rPr>
          <w:color w:val="0E101A"/>
          <w:szCs w:val="24"/>
        </w:rPr>
        <w:t xml:space="preserve"> as early as the 1999-2000 fiscal year, starting a pattern that continues decades later. </w:t>
      </w:r>
      <w:proofErr w:type="spellStart"/>
      <w:r>
        <w:rPr>
          <w:color w:val="0E101A"/>
          <w:szCs w:val="24"/>
        </w:rPr>
        <w:t>Bethard</w:t>
      </w:r>
      <w:proofErr w:type="spellEnd"/>
      <w:r>
        <w:rPr>
          <w:color w:val="0E101A"/>
          <w:szCs w:val="24"/>
        </w:rPr>
        <w:t xml:space="preserve"> (ca. 2000) wrote, “Serious consideration needs to be given to replacing some of our </w:t>
      </w:r>
      <w:proofErr w:type="spellStart"/>
      <w:r>
        <w:rPr>
          <w:color w:val="0E101A"/>
          <w:szCs w:val="24"/>
        </w:rPr>
        <w:t>backfiles</w:t>
      </w:r>
      <w:proofErr w:type="spellEnd"/>
      <w:r>
        <w:rPr>
          <w:color w:val="0E101A"/>
          <w:szCs w:val="24"/>
        </w:rPr>
        <w:t xml:space="preserve"> of the </w:t>
      </w:r>
      <w:r>
        <w:rPr>
          <w:i/>
          <w:color w:val="0E101A"/>
          <w:szCs w:val="24"/>
        </w:rPr>
        <w:t>New York Times</w:t>
      </w:r>
      <w:r>
        <w:rPr>
          <w:color w:val="0E101A"/>
          <w:szCs w:val="24"/>
        </w:rPr>
        <w:t xml:space="preserve">” (p. 2). At that time, </w:t>
      </w:r>
      <w:proofErr w:type="spellStart"/>
      <w:r>
        <w:rPr>
          <w:color w:val="0E101A"/>
          <w:szCs w:val="24"/>
        </w:rPr>
        <w:t>Bethard</w:t>
      </w:r>
      <w:proofErr w:type="spellEnd"/>
      <w:r>
        <w:rPr>
          <w:color w:val="0E101A"/>
          <w:szCs w:val="24"/>
        </w:rPr>
        <w:t xml:space="preserve"> (ca. 2000) noted a deterioration in the </w:t>
      </w:r>
      <w:r>
        <w:rPr>
          <w:i/>
          <w:color w:val="0E101A"/>
          <w:szCs w:val="24"/>
        </w:rPr>
        <w:t xml:space="preserve">New York Times </w:t>
      </w:r>
      <w:r>
        <w:rPr>
          <w:color w:val="0E101A"/>
          <w:szCs w:val="24"/>
        </w:rPr>
        <w:t xml:space="preserve">reels primarily containing dates from the 1940s. In 2001, the continued decay of the </w:t>
      </w:r>
      <w:r>
        <w:rPr>
          <w:i/>
          <w:color w:val="0E101A"/>
          <w:szCs w:val="24"/>
        </w:rPr>
        <w:t>New York Times</w:t>
      </w:r>
      <w:r>
        <w:rPr>
          <w:color w:val="0E101A"/>
          <w:szCs w:val="24"/>
        </w:rPr>
        <w:t xml:space="preserve"> </w:t>
      </w:r>
      <w:proofErr w:type="gramStart"/>
      <w:r>
        <w:rPr>
          <w:color w:val="0E101A"/>
          <w:szCs w:val="24"/>
        </w:rPr>
        <w:t>was reported</w:t>
      </w:r>
      <w:proofErr w:type="gramEnd"/>
      <w:r>
        <w:rPr>
          <w:color w:val="0E101A"/>
          <w:szCs w:val="24"/>
        </w:rPr>
        <w:t xml:space="preserve"> again. Additionally, </w:t>
      </w:r>
      <w:proofErr w:type="spellStart"/>
      <w:r>
        <w:rPr>
          <w:color w:val="0E101A"/>
          <w:szCs w:val="24"/>
        </w:rPr>
        <w:t>Bethard</w:t>
      </w:r>
      <w:proofErr w:type="spellEnd"/>
      <w:r>
        <w:rPr>
          <w:color w:val="0E101A"/>
          <w:szCs w:val="24"/>
        </w:rPr>
        <w:t xml:space="preserve"> (ca. 2001) wrote about the same issues in the </w:t>
      </w:r>
      <w:r>
        <w:rPr>
          <w:i/>
          <w:color w:val="0E101A"/>
          <w:szCs w:val="24"/>
        </w:rPr>
        <w:t>Daily Advertiser</w:t>
      </w:r>
      <w:r>
        <w:rPr>
          <w:color w:val="0E101A"/>
          <w:szCs w:val="24"/>
        </w:rPr>
        <w:t xml:space="preserve"> holdings containing dates from the 1950s, saying, “</w:t>
      </w:r>
      <w:proofErr w:type="gramStart"/>
      <w:r>
        <w:rPr>
          <w:color w:val="0E101A"/>
          <w:szCs w:val="24"/>
        </w:rPr>
        <w:t>the</w:t>
      </w:r>
      <w:proofErr w:type="gramEnd"/>
      <w:r>
        <w:rPr>
          <w:color w:val="0E101A"/>
          <w:szCs w:val="24"/>
        </w:rPr>
        <w:t xml:space="preserve"> same type of deterioration in its beginning stages has been noted” (p. 2). </w:t>
      </w:r>
    </w:p>
    <w:p w:rsidR="00476EC4" w:rsidRDefault="00476EC4" w:rsidP="00476EC4">
      <w:pPr>
        <w:shd w:val="clear" w:color="auto" w:fill="FFFFFF"/>
        <w:spacing w:line="480" w:lineRule="auto"/>
        <w:ind w:firstLine="720"/>
        <w:rPr>
          <w:szCs w:val="24"/>
        </w:rPr>
      </w:pPr>
      <w:r>
        <w:rPr>
          <w:color w:val="0E101A"/>
          <w:szCs w:val="24"/>
        </w:rPr>
        <w:t xml:space="preserve">The Microforms annual report for the 2003-2004 fiscal year again mentions continued film deterioration. Requests to purchase replacements for the damaged film </w:t>
      </w:r>
      <w:proofErr w:type="gramStart"/>
      <w:r>
        <w:rPr>
          <w:color w:val="0E101A"/>
          <w:szCs w:val="24"/>
        </w:rPr>
        <w:t>were made</w:t>
      </w:r>
      <w:proofErr w:type="gramEnd"/>
      <w:r>
        <w:rPr>
          <w:color w:val="0E101A"/>
          <w:szCs w:val="24"/>
        </w:rPr>
        <w:t>, but budgetary constraints did not always allow for such purchases (</w:t>
      </w:r>
      <w:proofErr w:type="spellStart"/>
      <w:r>
        <w:rPr>
          <w:color w:val="0E101A"/>
          <w:szCs w:val="24"/>
        </w:rPr>
        <w:t>Bethard</w:t>
      </w:r>
      <w:proofErr w:type="spellEnd"/>
      <w:r>
        <w:rPr>
          <w:color w:val="0E101A"/>
          <w:szCs w:val="24"/>
        </w:rPr>
        <w:t xml:space="preserve">, ca. 2004). The deteriorating film remained in place, and three years later, </w:t>
      </w:r>
      <w:proofErr w:type="spellStart"/>
      <w:r>
        <w:rPr>
          <w:color w:val="0E101A"/>
          <w:szCs w:val="24"/>
        </w:rPr>
        <w:t>Bethard</w:t>
      </w:r>
      <w:proofErr w:type="spellEnd"/>
      <w:r>
        <w:rPr>
          <w:color w:val="0E101A"/>
          <w:szCs w:val="24"/>
        </w:rPr>
        <w:t xml:space="preserve"> (ca. 2007) again sounded the alarm, writing, “badly damaged acetate films in the </w:t>
      </w:r>
      <w:proofErr w:type="spellStart"/>
      <w:r>
        <w:rPr>
          <w:color w:val="0E101A"/>
          <w:szCs w:val="24"/>
        </w:rPr>
        <w:t>backfiles</w:t>
      </w:r>
      <w:proofErr w:type="spellEnd"/>
      <w:r>
        <w:rPr>
          <w:color w:val="0E101A"/>
          <w:szCs w:val="24"/>
        </w:rPr>
        <w:t xml:space="preserve"> of the </w:t>
      </w:r>
      <w:r>
        <w:rPr>
          <w:i/>
          <w:color w:val="0E101A"/>
          <w:szCs w:val="24"/>
        </w:rPr>
        <w:t>Daily Advertiser</w:t>
      </w:r>
      <w:r>
        <w:rPr>
          <w:color w:val="0E101A"/>
          <w:szCs w:val="24"/>
        </w:rPr>
        <w:t xml:space="preserve"> and the </w:t>
      </w:r>
      <w:r>
        <w:rPr>
          <w:i/>
          <w:color w:val="0E101A"/>
          <w:szCs w:val="24"/>
        </w:rPr>
        <w:t>New York Times</w:t>
      </w:r>
      <w:r>
        <w:rPr>
          <w:color w:val="0E101A"/>
          <w:szCs w:val="24"/>
        </w:rPr>
        <w:t xml:space="preserve"> continue to be discovered” (p. 2). By 2013, both newspapers' holdings were “damaged by vinegar syndrome to the point of being </w:t>
      </w:r>
      <w:r>
        <w:rPr>
          <w:color w:val="0E101A"/>
          <w:szCs w:val="24"/>
        </w:rPr>
        <w:lastRenderedPageBreak/>
        <w:t>illegible” (</w:t>
      </w:r>
      <w:proofErr w:type="spellStart"/>
      <w:r>
        <w:rPr>
          <w:color w:val="0E101A"/>
          <w:szCs w:val="24"/>
        </w:rPr>
        <w:t>Bethard</w:t>
      </w:r>
      <w:proofErr w:type="spellEnd"/>
      <w:r>
        <w:rPr>
          <w:color w:val="0E101A"/>
          <w:szCs w:val="24"/>
        </w:rPr>
        <w:t xml:space="preserve">, ca. 2013, p. 1). After years of little to no remediation, the film had become warped and brittle to the point of breaking when loaded onto a microfilm reader or </w:t>
      </w:r>
      <w:proofErr w:type="gramStart"/>
      <w:r>
        <w:rPr>
          <w:color w:val="0E101A"/>
          <w:szCs w:val="24"/>
        </w:rPr>
        <w:t>unrolled</w:t>
      </w:r>
      <w:proofErr w:type="gramEnd"/>
      <w:r>
        <w:rPr>
          <w:color w:val="0E101A"/>
          <w:szCs w:val="24"/>
        </w:rPr>
        <w:t xml:space="preserve"> from the reel. </w:t>
      </w:r>
      <w:r>
        <w:rPr>
          <w:szCs w:val="24"/>
        </w:rPr>
        <w:t xml:space="preserve"> </w:t>
      </w:r>
    </w:p>
    <w:p w:rsidR="00476EC4" w:rsidRDefault="00476EC4" w:rsidP="00A30B5C">
      <w:pPr>
        <w:shd w:val="clear" w:color="auto" w:fill="FFFFFF"/>
        <w:spacing w:line="480" w:lineRule="auto"/>
        <w:ind w:firstLine="720"/>
        <w:rPr>
          <w:szCs w:val="24"/>
        </w:rPr>
      </w:pPr>
      <w:r>
        <w:rPr>
          <w:color w:val="0E101A"/>
          <w:szCs w:val="24"/>
        </w:rPr>
        <w:t xml:space="preserve">The author began working at </w:t>
      </w:r>
      <w:proofErr w:type="spellStart"/>
      <w:r>
        <w:rPr>
          <w:color w:val="0E101A"/>
          <w:szCs w:val="24"/>
        </w:rPr>
        <w:t>Dupré</w:t>
      </w:r>
      <w:proofErr w:type="spellEnd"/>
      <w:r>
        <w:rPr>
          <w:color w:val="0E101A"/>
          <w:szCs w:val="24"/>
        </w:rPr>
        <w:t xml:space="preserve"> Library in 2005. At that time, a strong, vinegar-like odor permeated the area near the cabinets housing the </w:t>
      </w:r>
      <w:r>
        <w:rPr>
          <w:i/>
          <w:color w:val="0E101A"/>
          <w:szCs w:val="24"/>
        </w:rPr>
        <w:t>New York Times</w:t>
      </w:r>
      <w:r>
        <w:rPr>
          <w:color w:val="0E101A"/>
          <w:szCs w:val="24"/>
        </w:rPr>
        <w:t xml:space="preserve"> and </w:t>
      </w:r>
      <w:r>
        <w:rPr>
          <w:i/>
          <w:color w:val="0E101A"/>
          <w:szCs w:val="24"/>
        </w:rPr>
        <w:t>Daily Advertiser</w:t>
      </w:r>
      <w:r>
        <w:rPr>
          <w:color w:val="0E101A"/>
          <w:szCs w:val="24"/>
        </w:rPr>
        <w:t xml:space="preserve"> microfilm holdings. The scent </w:t>
      </w:r>
      <w:proofErr w:type="gramStart"/>
      <w:r>
        <w:rPr>
          <w:color w:val="0E101A"/>
          <w:szCs w:val="24"/>
        </w:rPr>
        <w:t>was so pronounced</w:t>
      </w:r>
      <w:proofErr w:type="gramEnd"/>
      <w:r>
        <w:rPr>
          <w:color w:val="0E101A"/>
          <w:szCs w:val="24"/>
        </w:rPr>
        <w:t xml:space="preserve">, it could be smelled without needing to open the cabinet drawers. It was clear an active state of deterioration due to vinegar syndrome was occurring. By 2018, the damage had become so extreme little </w:t>
      </w:r>
      <w:proofErr w:type="gramStart"/>
      <w:r>
        <w:rPr>
          <w:color w:val="0E101A"/>
          <w:szCs w:val="24"/>
        </w:rPr>
        <w:t>could be done</w:t>
      </w:r>
      <w:proofErr w:type="gramEnd"/>
      <w:r>
        <w:rPr>
          <w:color w:val="0E101A"/>
          <w:szCs w:val="24"/>
        </w:rPr>
        <w:t xml:space="preserve"> to save the collection resulting in the loss of centuries' worth of information. </w:t>
      </w:r>
    </w:p>
    <w:p w:rsidR="00476EC4" w:rsidRDefault="00476EC4" w:rsidP="00476EC4">
      <w:pPr>
        <w:jc w:val="center"/>
        <w:rPr>
          <w:b/>
          <w:szCs w:val="24"/>
        </w:rPr>
      </w:pPr>
      <w:r>
        <w:rPr>
          <w:b/>
          <w:szCs w:val="24"/>
        </w:rPr>
        <w:t>Vinegar Syndrome in Acetate-Based Microforms</w:t>
      </w:r>
    </w:p>
    <w:p w:rsidR="00476EC4" w:rsidRDefault="00476EC4" w:rsidP="00476EC4">
      <w:pPr>
        <w:jc w:val="center"/>
        <w:rPr>
          <w:b/>
          <w:szCs w:val="24"/>
        </w:rPr>
      </w:pPr>
    </w:p>
    <w:p w:rsidR="00476EC4" w:rsidRDefault="00476EC4" w:rsidP="00476EC4">
      <w:pPr>
        <w:spacing w:line="480" w:lineRule="auto"/>
        <w:ind w:firstLine="720"/>
        <w:rPr>
          <w:color w:val="0E101A"/>
          <w:szCs w:val="24"/>
        </w:rPr>
      </w:pPr>
      <w:proofErr w:type="spellStart"/>
      <w:r>
        <w:rPr>
          <w:color w:val="0E101A"/>
          <w:szCs w:val="24"/>
          <w:highlight w:val="white"/>
        </w:rPr>
        <w:t>Selle</w:t>
      </w:r>
      <w:proofErr w:type="spellEnd"/>
      <w:r>
        <w:rPr>
          <w:color w:val="0E101A"/>
          <w:szCs w:val="24"/>
          <w:highlight w:val="white"/>
        </w:rPr>
        <w:t xml:space="preserve"> (2003) states that “acetate film base is a modified form of cellulose with an inherent tendency to degrade” (p. 2). Once the material's chemical composition starts to break down, acetic acid forms and begins to emit a vinegar-like odor, which eventually causes the film to degrade. This deterioration </w:t>
      </w:r>
      <w:proofErr w:type="gramStart"/>
      <w:r>
        <w:rPr>
          <w:color w:val="0E101A"/>
          <w:szCs w:val="24"/>
          <w:highlight w:val="white"/>
        </w:rPr>
        <w:t>is commonly known</w:t>
      </w:r>
      <w:proofErr w:type="gramEnd"/>
      <w:r>
        <w:rPr>
          <w:color w:val="0E101A"/>
          <w:szCs w:val="24"/>
          <w:highlight w:val="white"/>
        </w:rPr>
        <w:t xml:space="preserve"> as vinegar syndrome. According to Reilly (1993), acetate film starts degrading once levels reach 0.5 free acidity. However, there may be no visible signs of deterioration at this stage. In extreme cases of vinegar syndrome, the film’s base layer begins to shrink, resulting in “warping, curling, buckling, embrittlement, and blisters (also called channels) to appear on the film” (</w:t>
      </w:r>
      <w:proofErr w:type="spellStart"/>
      <w:r>
        <w:rPr>
          <w:color w:val="0E101A"/>
          <w:szCs w:val="24"/>
          <w:highlight w:val="white"/>
        </w:rPr>
        <w:t>Selle</w:t>
      </w:r>
      <w:proofErr w:type="spellEnd"/>
      <w:r>
        <w:rPr>
          <w:color w:val="0E101A"/>
          <w:szCs w:val="24"/>
          <w:highlight w:val="white"/>
        </w:rPr>
        <w:t>, 2003, p. 2). It is important to note that while acidity levels will gradually build over time, the film enters a state of rapid deterioration once the 0.5 free acidity threshold is met (Reilly, 1993).</w:t>
      </w:r>
    </w:p>
    <w:p w:rsidR="00476EC4" w:rsidRDefault="00476EC4" w:rsidP="00476EC4">
      <w:pPr>
        <w:rPr>
          <w:color w:val="0E101A"/>
          <w:szCs w:val="24"/>
        </w:rPr>
      </w:pPr>
      <w:r>
        <w:rPr>
          <w:color w:val="0E101A"/>
          <w:szCs w:val="24"/>
        </w:rPr>
        <w:lastRenderedPageBreak/>
        <w:t xml:space="preserve">    </w:t>
      </w:r>
      <w:r>
        <w:rPr>
          <w:b/>
          <w:color w:val="0E101A"/>
          <w:szCs w:val="24"/>
        </w:rPr>
        <w:t xml:space="preserve">             </w:t>
      </w:r>
      <w:r>
        <w:rPr>
          <w:noProof/>
          <w:color w:val="0E101A"/>
          <w:szCs w:val="24"/>
        </w:rPr>
        <w:drawing>
          <wp:inline distT="114300" distB="114300" distL="114300" distR="114300" wp14:anchorId="300F272B" wp14:editId="505E60E1">
            <wp:extent cx="2468880" cy="1851660"/>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468880" cy="1851660"/>
                    </a:xfrm>
                    <a:prstGeom prst="rect">
                      <a:avLst/>
                    </a:prstGeom>
                    <a:ln/>
                  </pic:spPr>
                </pic:pic>
              </a:graphicData>
            </a:graphic>
          </wp:inline>
        </w:drawing>
      </w:r>
      <w:r>
        <w:rPr>
          <w:color w:val="0E101A"/>
          <w:szCs w:val="24"/>
        </w:rPr>
        <w:t xml:space="preserve">       </w:t>
      </w:r>
      <w:r>
        <w:rPr>
          <w:noProof/>
          <w:color w:val="0E101A"/>
          <w:szCs w:val="24"/>
        </w:rPr>
        <w:drawing>
          <wp:inline distT="114300" distB="114300" distL="114300" distR="114300" wp14:anchorId="4FB783C9" wp14:editId="4E478D03">
            <wp:extent cx="1591056" cy="2144467"/>
            <wp:effectExtent l="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1591056" cy="2144467"/>
                    </a:xfrm>
                    <a:prstGeom prst="rect">
                      <a:avLst/>
                    </a:prstGeom>
                    <a:ln/>
                  </pic:spPr>
                </pic:pic>
              </a:graphicData>
            </a:graphic>
          </wp:inline>
        </w:drawing>
      </w:r>
      <w:r>
        <w:rPr>
          <w:color w:val="0E101A"/>
          <w:szCs w:val="24"/>
        </w:rPr>
        <w:t xml:space="preserve">  </w:t>
      </w:r>
    </w:p>
    <w:p w:rsidR="00476EC4" w:rsidRDefault="00476EC4" w:rsidP="00476EC4">
      <w:pPr>
        <w:jc w:val="center"/>
        <w:rPr>
          <w:b/>
          <w:color w:val="0E101A"/>
          <w:szCs w:val="24"/>
        </w:rPr>
      </w:pPr>
      <w:r>
        <w:rPr>
          <w:b/>
          <w:color w:val="0E101A"/>
          <w:szCs w:val="24"/>
        </w:rPr>
        <w:t>Microfilm damaged by vinegar syndrome</w:t>
      </w:r>
    </w:p>
    <w:p w:rsidR="00476EC4" w:rsidRDefault="00476EC4" w:rsidP="009860A2">
      <w:pPr>
        <w:spacing w:before="240" w:line="480" w:lineRule="auto"/>
        <w:ind w:firstLine="720"/>
        <w:rPr>
          <w:b/>
          <w:szCs w:val="24"/>
        </w:rPr>
      </w:pPr>
      <w:r>
        <w:rPr>
          <w:szCs w:val="24"/>
        </w:rPr>
        <w:t>Ahmad (2020) writes, “</w:t>
      </w:r>
      <w:proofErr w:type="gramStart"/>
      <w:r>
        <w:rPr>
          <w:szCs w:val="24"/>
        </w:rPr>
        <w:t>vinegar</w:t>
      </w:r>
      <w:proofErr w:type="gramEnd"/>
      <w:r>
        <w:rPr>
          <w:szCs w:val="24"/>
        </w:rPr>
        <w:t xml:space="preserve"> syndrome cannot be prevented forever, nor can it be reversed. It can only be delayed” (para. 3). As knowledge of microform technology grew, it became clear that environmental conditions such as temperature and humidity play crucial roles in determining the rate at which acetate film deteriorates. Unfortunately, from 1930 to 1980, when production of acetate-based film both commercially and by in-house library microfilming operations was high, “there was not general recognition that microforms required storage in low-temperature and low-humidity environments for long-term preservation” (Westcott, 2017, p. 2).  The result has been a significant and permanent loss of microfilm collections in libraries and archives. </w:t>
      </w:r>
    </w:p>
    <w:p w:rsidR="00476EC4" w:rsidRDefault="00476EC4" w:rsidP="00476EC4">
      <w:pPr>
        <w:jc w:val="center"/>
        <w:rPr>
          <w:b/>
          <w:szCs w:val="24"/>
        </w:rPr>
      </w:pPr>
      <w:r>
        <w:rPr>
          <w:b/>
          <w:szCs w:val="24"/>
        </w:rPr>
        <w:t>Remediation Efforts to Prevent Material Loss</w:t>
      </w:r>
    </w:p>
    <w:p w:rsidR="00476EC4" w:rsidRDefault="00476EC4" w:rsidP="00476EC4">
      <w:pPr>
        <w:jc w:val="center"/>
        <w:rPr>
          <w:b/>
          <w:szCs w:val="24"/>
        </w:rPr>
      </w:pPr>
    </w:p>
    <w:p w:rsidR="00476EC4" w:rsidRDefault="00476EC4" w:rsidP="00476EC4">
      <w:pPr>
        <w:spacing w:line="480" w:lineRule="auto"/>
        <w:ind w:firstLine="720"/>
        <w:rPr>
          <w:b/>
          <w:szCs w:val="24"/>
          <w:highlight w:val="yellow"/>
        </w:rPr>
      </w:pPr>
      <w:r>
        <w:rPr>
          <w:szCs w:val="24"/>
        </w:rPr>
        <w:t xml:space="preserve">Vinegar syndrome can quickly spread to other materials. As Ahmad (2020) states, “just one reel of severely degrading acetate film could cause serious damage to the rest of the collection if the vinegar syndrome is not contained” (“Modelling Film Degradation” section). Upon discovering signs of vinegar syndrome, libraries must act quickly to prevent widespread damage to microform collections. While vinegar syndrome will not stop once established, several remediation efforts may extend the life of materials by </w:t>
      </w:r>
      <w:r>
        <w:rPr>
          <w:szCs w:val="24"/>
        </w:rPr>
        <w:lastRenderedPageBreak/>
        <w:t xml:space="preserve">slowing deterioration and preventing additional material loss. </w:t>
      </w:r>
    </w:p>
    <w:p w:rsidR="00476EC4" w:rsidRDefault="00476EC4" w:rsidP="00476EC4">
      <w:pPr>
        <w:rPr>
          <w:b/>
          <w:szCs w:val="24"/>
        </w:rPr>
      </w:pPr>
      <w:r>
        <w:rPr>
          <w:b/>
          <w:szCs w:val="24"/>
        </w:rPr>
        <w:t>Identify Deteriorating Materials</w:t>
      </w:r>
    </w:p>
    <w:p w:rsidR="00476EC4" w:rsidRDefault="00476EC4" w:rsidP="00476EC4">
      <w:pPr>
        <w:rPr>
          <w:b/>
          <w:szCs w:val="24"/>
        </w:rPr>
      </w:pPr>
    </w:p>
    <w:p w:rsidR="00476EC4" w:rsidRDefault="00476EC4" w:rsidP="00476EC4">
      <w:pPr>
        <w:spacing w:line="480" w:lineRule="auto"/>
        <w:ind w:firstLine="720"/>
        <w:rPr>
          <w:szCs w:val="24"/>
        </w:rPr>
      </w:pPr>
      <w:r>
        <w:rPr>
          <w:color w:val="0E101A"/>
          <w:szCs w:val="24"/>
        </w:rPr>
        <w:t xml:space="preserve">Periodic assessment of the physical condition of microform materials can help libraries identify those pieces showing signs of vinegar syndrome and other contaminants such as mold. One way to assess is to conduct a visual inspection of the materials. In 2018, </w:t>
      </w:r>
      <w:proofErr w:type="spellStart"/>
      <w:r>
        <w:rPr>
          <w:color w:val="0E101A"/>
          <w:szCs w:val="24"/>
        </w:rPr>
        <w:t>Dupré</w:t>
      </w:r>
      <w:proofErr w:type="spellEnd"/>
      <w:r>
        <w:rPr>
          <w:color w:val="0E101A"/>
          <w:szCs w:val="24"/>
        </w:rPr>
        <w:t xml:space="preserve"> Library staff began examining holdings of the </w:t>
      </w:r>
      <w:r>
        <w:rPr>
          <w:i/>
          <w:color w:val="0E101A"/>
          <w:szCs w:val="24"/>
        </w:rPr>
        <w:t>Daily Advertiser</w:t>
      </w:r>
      <w:r>
        <w:rPr>
          <w:color w:val="0E101A"/>
          <w:szCs w:val="24"/>
        </w:rPr>
        <w:t xml:space="preserve"> to salvage as many reels as possible due to its importance to the </w:t>
      </w:r>
      <w:proofErr w:type="spellStart"/>
      <w:r>
        <w:rPr>
          <w:color w:val="0E101A"/>
          <w:szCs w:val="24"/>
        </w:rPr>
        <w:t>Acadiana</w:t>
      </w:r>
      <w:proofErr w:type="spellEnd"/>
      <w:r>
        <w:rPr>
          <w:color w:val="0E101A"/>
          <w:szCs w:val="24"/>
        </w:rPr>
        <w:t xml:space="preserve"> area. Staff checked the materials for signs of the vinegar smell, evidence of warping, and mold.</w:t>
      </w:r>
    </w:p>
    <w:p w:rsidR="00476EC4" w:rsidRDefault="00476EC4" w:rsidP="00476EC4">
      <w:pPr>
        <w:spacing w:line="480" w:lineRule="auto"/>
        <w:ind w:firstLine="720"/>
        <w:rPr>
          <w:szCs w:val="24"/>
        </w:rPr>
      </w:pPr>
      <w:r>
        <w:rPr>
          <w:szCs w:val="24"/>
          <w:highlight w:val="white"/>
        </w:rPr>
        <w:t xml:space="preserve">When conducting an assessment project, it is essential to protect staff who handle contaminated materials due to the potential health hazards that acetic acid poses. Prolonged exposure to acetic acid can irritate the eyes, skin, and respiratory system (Virginia Department of Health, 2018). </w:t>
      </w:r>
      <w:proofErr w:type="spellStart"/>
      <w:r>
        <w:rPr>
          <w:szCs w:val="24"/>
          <w:highlight w:val="white"/>
        </w:rPr>
        <w:t>Dupré</w:t>
      </w:r>
      <w:proofErr w:type="spellEnd"/>
      <w:r>
        <w:rPr>
          <w:szCs w:val="24"/>
          <w:highlight w:val="white"/>
        </w:rPr>
        <w:t xml:space="preserve"> Library staff working on the project wore protective equipment, including </w:t>
      </w:r>
      <w:proofErr w:type="gramStart"/>
      <w:r>
        <w:rPr>
          <w:szCs w:val="24"/>
          <w:highlight w:val="white"/>
        </w:rPr>
        <w:t>face masks</w:t>
      </w:r>
      <w:proofErr w:type="gramEnd"/>
      <w:r>
        <w:rPr>
          <w:szCs w:val="24"/>
          <w:highlight w:val="white"/>
        </w:rPr>
        <w:t xml:space="preserve"> and gloves, took frequent breaks, and worked in a well-ventilated area. Those with respiratory conditions such as asthma did not participate in the film inspection project. To prevent the spread of mold, staff covered the floors and workspaces with plastic sheeting.  </w:t>
      </w:r>
      <w:r>
        <w:rPr>
          <w:szCs w:val="24"/>
        </w:rPr>
        <w:t xml:space="preserve"> </w:t>
      </w:r>
    </w:p>
    <w:p w:rsidR="00476EC4" w:rsidRDefault="00476EC4" w:rsidP="00476EC4">
      <w:pPr>
        <w:spacing w:line="480" w:lineRule="auto"/>
        <w:ind w:firstLine="720"/>
        <w:rPr>
          <w:szCs w:val="24"/>
          <w:highlight w:val="white"/>
        </w:rPr>
      </w:pPr>
      <w:r>
        <w:rPr>
          <w:color w:val="0E101A"/>
          <w:szCs w:val="24"/>
          <w:highlight w:val="white"/>
        </w:rPr>
        <w:t xml:space="preserve">Using Acid-Detection (A-D) strips is another method useful in detecting vinegar syndrome in microfilm collections. Developed by the Image Permanence Institute, A-D Strips “provide a simple and safe method for detecting, measuring, and recording the severity of vinegar syndrome” (Image Permanence Institute, 2021, “What are A-D Strips?” section). The strips </w:t>
      </w:r>
      <w:proofErr w:type="gramStart"/>
      <w:r>
        <w:rPr>
          <w:color w:val="0E101A"/>
          <w:szCs w:val="24"/>
          <w:highlight w:val="white"/>
        </w:rPr>
        <w:t>are placed</w:t>
      </w:r>
      <w:proofErr w:type="gramEnd"/>
      <w:r>
        <w:rPr>
          <w:color w:val="0E101A"/>
          <w:szCs w:val="24"/>
          <w:highlight w:val="white"/>
        </w:rPr>
        <w:t xml:space="preserve"> directly inside boxes or cabinets housing microform materials and change color if acetic acid vapors are present. A-D Strip kits are available for purchase online from the Image Permanence Institute at </w:t>
      </w:r>
      <w:hyperlink r:id="rId11">
        <w:r>
          <w:rPr>
            <w:color w:val="4A6EE0"/>
            <w:szCs w:val="24"/>
            <w:highlight w:val="white"/>
            <w:u w:val="single"/>
          </w:rPr>
          <w:t>https://store.imagepermanenceinstitute.org/ad-strips</w:t>
        </w:r>
      </w:hyperlink>
      <w:r>
        <w:rPr>
          <w:color w:val="0E101A"/>
          <w:szCs w:val="24"/>
          <w:highlight w:val="white"/>
        </w:rPr>
        <w:t>. The kit includes a printed guide featuring “four bands of color, numbered from 0 to 3; these correspond to strip colors at four levels of acidity” (Image Permanence Institute, 2021, “How do A-D Strips Work?” section). The guide also includes recommended actions for remediation at each level.</w:t>
      </w:r>
    </w:p>
    <w:p w:rsidR="00476EC4" w:rsidRDefault="00476EC4" w:rsidP="00476EC4">
      <w:pPr>
        <w:rPr>
          <w:b/>
          <w:szCs w:val="24"/>
        </w:rPr>
      </w:pPr>
      <w:r>
        <w:rPr>
          <w:b/>
          <w:szCs w:val="24"/>
        </w:rPr>
        <w:t>Isolate Contaminated Materials</w:t>
      </w:r>
    </w:p>
    <w:p w:rsidR="00476EC4" w:rsidRDefault="00476EC4" w:rsidP="00476EC4">
      <w:pPr>
        <w:rPr>
          <w:b/>
          <w:i/>
          <w:szCs w:val="24"/>
        </w:rPr>
      </w:pPr>
    </w:p>
    <w:p w:rsidR="00476EC4" w:rsidRDefault="00476EC4" w:rsidP="00476EC4">
      <w:pPr>
        <w:spacing w:line="480" w:lineRule="auto"/>
        <w:ind w:firstLine="720"/>
        <w:rPr>
          <w:szCs w:val="24"/>
        </w:rPr>
      </w:pPr>
      <w:r>
        <w:rPr>
          <w:color w:val="0E101A"/>
          <w:szCs w:val="24"/>
        </w:rPr>
        <w:t xml:space="preserve">Since the contamination caused by vinegar syndrome can quickly spread, “films showing vinegar syndrome should be segregated” (Reilly, 1993, p. 14). This same practice can apply to materials found to have mold growth. If possible, store contaminated film in cabinets away from those that house the remaining collection. After </w:t>
      </w:r>
      <w:proofErr w:type="spellStart"/>
      <w:r>
        <w:rPr>
          <w:color w:val="0E101A"/>
          <w:szCs w:val="24"/>
        </w:rPr>
        <w:t>Dupré</w:t>
      </w:r>
      <w:proofErr w:type="spellEnd"/>
      <w:r>
        <w:rPr>
          <w:color w:val="0E101A"/>
          <w:szCs w:val="24"/>
        </w:rPr>
        <w:t xml:space="preserve"> Library’s </w:t>
      </w:r>
      <w:r>
        <w:rPr>
          <w:i/>
          <w:color w:val="0E101A"/>
          <w:szCs w:val="24"/>
        </w:rPr>
        <w:t>Daily Advertiser</w:t>
      </w:r>
      <w:r>
        <w:rPr>
          <w:color w:val="0E101A"/>
          <w:szCs w:val="24"/>
        </w:rPr>
        <w:t xml:space="preserve"> holdings </w:t>
      </w:r>
      <w:proofErr w:type="gramStart"/>
      <w:r>
        <w:rPr>
          <w:color w:val="0E101A"/>
          <w:szCs w:val="24"/>
        </w:rPr>
        <w:t>were deemed</w:t>
      </w:r>
      <w:proofErr w:type="gramEnd"/>
      <w:r>
        <w:rPr>
          <w:color w:val="0E101A"/>
          <w:szCs w:val="24"/>
        </w:rPr>
        <w:t xml:space="preserve"> unsalvageable, unfortunately, due to the volume of materials and lack of extra storage space, they remained in place until their disposal several months later. The cabinet drawers </w:t>
      </w:r>
      <w:proofErr w:type="gramStart"/>
      <w:r>
        <w:rPr>
          <w:color w:val="0E101A"/>
          <w:szCs w:val="24"/>
        </w:rPr>
        <w:t>were labeled</w:t>
      </w:r>
      <w:proofErr w:type="gramEnd"/>
      <w:r>
        <w:rPr>
          <w:color w:val="0E101A"/>
          <w:szCs w:val="24"/>
        </w:rPr>
        <w:t xml:space="preserve"> to indicate that materials were unavailable for use, and the item record in the online catalog was removed. Staff followed the same procedure with holdings of the </w:t>
      </w:r>
      <w:r>
        <w:rPr>
          <w:i/>
          <w:color w:val="0E101A"/>
          <w:szCs w:val="24"/>
        </w:rPr>
        <w:t>New York Times</w:t>
      </w:r>
      <w:r>
        <w:rPr>
          <w:color w:val="0E101A"/>
          <w:szCs w:val="24"/>
        </w:rPr>
        <w:t>.</w:t>
      </w:r>
    </w:p>
    <w:p w:rsidR="00476EC4" w:rsidRDefault="00476EC4" w:rsidP="00476EC4">
      <w:pPr>
        <w:spacing w:line="480" w:lineRule="auto"/>
        <w:ind w:firstLine="720"/>
        <w:rPr>
          <w:szCs w:val="24"/>
        </w:rPr>
      </w:pPr>
      <w:r>
        <w:rPr>
          <w:color w:val="0E101A"/>
          <w:szCs w:val="24"/>
        </w:rPr>
        <w:t xml:space="preserve">After focusing on the most critical materials first, similar physical inspections of </w:t>
      </w:r>
      <w:r>
        <w:rPr>
          <w:i/>
          <w:color w:val="0E101A"/>
          <w:szCs w:val="24"/>
        </w:rPr>
        <w:t>The Times-Picayune</w:t>
      </w:r>
      <w:r>
        <w:rPr>
          <w:color w:val="0E101A"/>
          <w:szCs w:val="24"/>
        </w:rPr>
        <w:t xml:space="preserve"> and </w:t>
      </w:r>
      <w:r>
        <w:rPr>
          <w:i/>
          <w:color w:val="0E101A"/>
          <w:szCs w:val="24"/>
        </w:rPr>
        <w:t>The Advocate</w:t>
      </w:r>
      <w:r>
        <w:rPr>
          <w:color w:val="0E101A"/>
          <w:szCs w:val="24"/>
        </w:rPr>
        <w:t xml:space="preserve"> (Baton Rouge, LA) </w:t>
      </w:r>
      <w:proofErr w:type="gramStart"/>
      <w:r>
        <w:rPr>
          <w:color w:val="0E101A"/>
          <w:szCs w:val="24"/>
        </w:rPr>
        <w:t>were conducted</w:t>
      </w:r>
      <w:proofErr w:type="gramEnd"/>
      <w:r>
        <w:rPr>
          <w:color w:val="0E101A"/>
          <w:szCs w:val="24"/>
        </w:rPr>
        <w:t xml:space="preserve">. As more contaminated materials </w:t>
      </w:r>
      <w:proofErr w:type="gramStart"/>
      <w:r>
        <w:rPr>
          <w:color w:val="0E101A"/>
          <w:szCs w:val="24"/>
        </w:rPr>
        <w:t>were discovered</w:t>
      </w:r>
      <w:proofErr w:type="gramEnd"/>
      <w:r>
        <w:rPr>
          <w:color w:val="0E101A"/>
          <w:szCs w:val="24"/>
        </w:rPr>
        <w:t xml:space="preserve">, they were isolated from the rest of the collection based on their condition. Materials showing signs of extreme deterioration or mold </w:t>
      </w:r>
      <w:proofErr w:type="gramStart"/>
      <w:r>
        <w:rPr>
          <w:color w:val="0E101A"/>
          <w:szCs w:val="24"/>
        </w:rPr>
        <w:t>were placed</w:t>
      </w:r>
      <w:proofErr w:type="gramEnd"/>
      <w:r>
        <w:rPr>
          <w:color w:val="0E101A"/>
          <w:szCs w:val="24"/>
        </w:rPr>
        <w:t xml:space="preserve"> in dedicated cabinets on the opposite side of the room, where they awaited disposal. Cabinets containing reels having only a vinegar smell but no physical signs of deterioration or decay </w:t>
      </w:r>
      <w:proofErr w:type="gramStart"/>
      <w:r>
        <w:rPr>
          <w:color w:val="0E101A"/>
          <w:szCs w:val="24"/>
        </w:rPr>
        <w:t>were moved</w:t>
      </w:r>
      <w:proofErr w:type="gramEnd"/>
      <w:r>
        <w:rPr>
          <w:color w:val="0E101A"/>
          <w:szCs w:val="24"/>
        </w:rPr>
        <w:t xml:space="preserve"> to another location within the Microforms Department but away from the remaining collection. These materials are still available for use and </w:t>
      </w:r>
      <w:proofErr w:type="gramStart"/>
      <w:r>
        <w:rPr>
          <w:color w:val="0E101A"/>
          <w:szCs w:val="24"/>
        </w:rPr>
        <w:t>are periodically monitored</w:t>
      </w:r>
      <w:proofErr w:type="gramEnd"/>
      <w:r>
        <w:rPr>
          <w:color w:val="0E101A"/>
          <w:szCs w:val="24"/>
        </w:rPr>
        <w:t xml:space="preserve"> for signs of further damage.</w:t>
      </w:r>
    </w:p>
    <w:p w:rsidR="00476EC4" w:rsidRDefault="00476EC4" w:rsidP="00476EC4">
      <w:pPr>
        <w:spacing w:line="480" w:lineRule="auto"/>
        <w:ind w:firstLine="720"/>
        <w:rPr>
          <w:b/>
          <w:i/>
          <w:szCs w:val="24"/>
        </w:rPr>
      </w:pPr>
      <w:proofErr w:type="spellStart"/>
      <w:r>
        <w:rPr>
          <w:szCs w:val="24"/>
        </w:rPr>
        <w:lastRenderedPageBreak/>
        <w:t>Bigourdan</w:t>
      </w:r>
      <w:proofErr w:type="spellEnd"/>
      <w:r>
        <w:rPr>
          <w:szCs w:val="24"/>
        </w:rPr>
        <w:t xml:space="preserve"> (</w:t>
      </w:r>
      <w:proofErr w:type="spellStart"/>
      <w:r>
        <w:rPr>
          <w:szCs w:val="24"/>
        </w:rPr>
        <w:t>n.d</w:t>
      </w:r>
      <w:proofErr w:type="spellEnd"/>
      <w:r>
        <w:rPr>
          <w:szCs w:val="24"/>
        </w:rPr>
        <w:t>) states, “</w:t>
      </w:r>
      <w:proofErr w:type="gramStart"/>
      <w:r>
        <w:rPr>
          <w:szCs w:val="24"/>
        </w:rPr>
        <w:t>the</w:t>
      </w:r>
      <w:proofErr w:type="gramEnd"/>
      <w:r>
        <w:rPr>
          <w:szCs w:val="24"/>
        </w:rPr>
        <w:t xml:space="preserve"> use of cold or subfreezing storage temperatures can postpone further decay of film in critical condition” (p. 3). Cold temperatures “reduces the rate of further chemical changes, thereby stabilizing them until they can be duplicated” (</w:t>
      </w:r>
      <w:proofErr w:type="spellStart"/>
      <w:r>
        <w:rPr>
          <w:szCs w:val="24"/>
        </w:rPr>
        <w:t>Bigourdan</w:t>
      </w:r>
      <w:proofErr w:type="spellEnd"/>
      <w:r>
        <w:rPr>
          <w:szCs w:val="24"/>
        </w:rPr>
        <w:t xml:space="preserve">, </w:t>
      </w:r>
      <w:proofErr w:type="spellStart"/>
      <w:r>
        <w:rPr>
          <w:szCs w:val="24"/>
        </w:rPr>
        <w:t>n.d.</w:t>
      </w:r>
      <w:proofErr w:type="spellEnd"/>
      <w:r>
        <w:rPr>
          <w:szCs w:val="24"/>
        </w:rPr>
        <w:t xml:space="preserve">, p. 3). According to </w:t>
      </w:r>
      <w:proofErr w:type="spellStart"/>
      <w:r>
        <w:rPr>
          <w:szCs w:val="24"/>
        </w:rPr>
        <w:t>Bigourdan</w:t>
      </w:r>
      <w:proofErr w:type="spellEnd"/>
      <w:r>
        <w:rPr>
          <w:szCs w:val="24"/>
        </w:rPr>
        <w:t xml:space="preserve"> (</w:t>
      </w:r>
      <w:proofErr w:type="spellStart"/>
      <w:r>
        <w:rPr>
          <w:szCs w:val="24"/>
        </w:rPr>
        <w:t>n.d.</w:t>
      </w:r>
      <w:proofErr w:type="spellEnd"/>
      <w:r>
        <w:rPr>
          <w:szCs w:val="24"/>
        </w:rPr>
        <w:t>), when removing materials from cold storage, care must be taken to “prevent moisture condensation when the film is moved into a warmer environment” (p. 6). Like with other methods, utilizing cold storage will not pause or reverse the damage already sustained to materials but merely provides more time for libraries to investigate film replacement options.</w:t>
      </w:r>
    </w:p>
    <w:p w:rsidR="00476EC4" w:rsidRDefault="00476EC4" w:rsidP="00476EC4">
      <w:pPr>
        <w:rPr>
          <w:b/>
          <w:szCs w:val="24"/>
        </w:rPr>
      </w:pPr>
      <w:r>
        <w:rPr>
          <w:b/>
          <w:szCs w:val="24"/>
        </w:rPr>
        <w:t>Improve Storage Conditions</w:t>
      </w:r>
    </w:p>
    <w:p w:rsidR="00476EC4" w:rsidRDefault="00476EC4" w:rsidP="00476EC4">
      <w:pPr>
        <w:rPr>
          <w:b/>
          <w:szCs w:val="24"/>
        </w:rPr>
      </w:pPr>
    </w:p>
    <w:p w:rsidR="00476EC4" w:rsidRDefault="00476EC4" w:rsidP="00476EC4">
      <w:pPr>
        <w:spacing w:line="480" w:lineRule="auto"/>
        <w:ind w:firstLine="720"/>
        <w:rPr>
          <w:szCs w:val="24"/>
        </w:rPr>
      </w:pPr>
      <w:r>
        <w:rPr>
          <w:szCs w:val="24"/>
        </w:rPr>
        <w:t>When stored properly, polyester-based materials' life expectancy increases to 500 years and 100 years for acetate-based materials (</w:t>
      </w:r>
      <w:proofErr w:type="spellStart"/>
      <w:r>
        <w:rPr>
          <w:szCs w:val="24"/>
        </w:rPr>
        <w:t>Canepi</w:t>
      </w:r>
      <w:proofErr w:type="spellEnd"/>
      <w:r>
        <w:rPr>
          <w:szCs w:val="24"/>
        </w:rPr>
        <w:t xml:space="preserve"> et al., 2013). Ideally, microform materials' storage conditions should have temperatures not exceeding 70 degrees Fahrenheit and relative humidity levels of 30 percent (Gwinn, 1987). Materials stored at consistently high temperatures make the onset of rapid deterioration likely as the chemical reactions that contribute to vinegar syndrome occur at faster rates (Reilly, 1993). Relative humidity levels determine the amount of water film materials absorb, and as Reilly (1993) states, “the higher the RH, the faster the degradation” (p. 4).</w:t>
      </w:r>
    </w:p>
    <w:p w:rsidR="00476EC4" w:rsidRDefault="00476EC4" w:rsidP="00476EC4">
      <w:pPr>
        <w:spacing w:line="480" w:lineRule="auto"/>
        <w:ind w:firstLine="720"/>
        <w:rPr>
          <w:szCs w:val="24"/>
        </w:rPr>
      </w:pPr>
      <w:r>
        <w:rPr>
          <w:szCs w:val="24"/>
        </w:rPr>
        <w:t xml:space="preserve">To ensure the health and stability of microform materials, consistency in environmental storage conditions is critical (Gwinn, 1987). For years, </w:t>
      </w:r>
      <w:proofErr w:type="spellStart"/>
      <w:proofErr w:type="gramStart"/>
      <w:r>
        <w:rPr>
          <w:szCs w:val="24"/>
        </w:rPr>
        <w:t>Dupré</w:t>
      </w:r>
      <w:proofErr w:type="spellEnd"/>
      <w:r>
        <w:rPr>
          <w:szCs w:val="24"/>
        </w:rPr>
        <w:t xml:space="preserve"> Library has been afflicted by inconsistent temperatures and humidity levels in parts of the building</w:t>
      </w:r>
      <w:proofErr w:type="gramEnd"/>
      <w:r>
        <w:rPr>
          <w:szCs w:val="24"/>
        </w:rPr>
        <w:t xml:space="preserve">, including the Microforms Department. Starting in May 2004, daily temperature and humidity levels in Microforms </w:t>
      </w:r>
      <w:proofErr w:type="gramStart"/>
      <w:r>
        <w:rPr>
          <w:szCs w:val="24"/>
        </w:rPr>
        <w:t>were kept</w:t>
      </w:r>
      <w:proofErr w:type="gramEnd"/>
      <w:r>
        <w:rPr>
          <w:szCs w:val="24"/>
        </w:rPr>
        <w:t xml:space="preserve">. Readings from May and June 2004 indicate a range of temperatures from 70 to 75 degrees Fahrenheit, and humidity ranging from 44 </w:t>
      </w:r>
      <w:r>
        <w:rPr>
          <w:szCs w:val="24"/>
        </w:rPr>
        <w:lastRenderedPageBreak/>
        <w:t>percent to as high as 78 percent (</w:t>
      </w:r>
      <w:proofErr w:type="spellStart"/>
      <w:r>
        <w:rPr>
          <w:szCs w:val="24"/>
        </w:rPr>
        <w:t>Bethard</w:t>
      </w:r>
      <w:proofErr w:type="spellEnd"/>
      <w:r>
        <w:rPr>
          <w:szCs w:val="24"/>
        </w:rPr>
        <w:t xml:space="preserve">, ca. 2004). A review of readings from 2005 through 2018 shows the pattern of varying temperature and humidity continued, to the continued detriment of the collection. The library's Special Collections that houses archival materials on microfilm and photograph negatives has also experienced similar temperature and humidity issues. In 2007, the Head of Special Collections wrote, “humidity in the Louisiana Room stacks and the archives stacks varied by 10% or more on over 40% of the readings taken during the year” (Turner, ca. 2007, p. 133). As a result, like Microforms, Special Collections is currently experiencing deteriorating microform materials. It </w:t>
      </w:r>
      <w:proofErr w:type="gramStart"/>
      <w:r>
        <w:rPr>
          <w:szCs w:val="24"/>
        </w:rPr>
        <w:t>is hoped</w:t>
      </w:r>
      <w:proofErr w:type="gramEnd"/>
      <w:r>
        <w:rPr>
          <w:szCs w:val="24"/>
        </w:rPr>
        <w:t xml:space="preserve"> that the air handler replacement project scheduled for late 2020, early 2021, will finally maintain a consistent temperature and humidity levels throughout the building.</w:t>
      </w:r>
    </w:p>
    <w:p w:rsidR="00476EC4" w:rsidRDefault="00476EC4" w:rsidP="00476EC4">
      <w:pPr>
        <w:spacing w:line="480" w:lineRule="auto"/>
        <w:ind w:firstLine="720"/>
        <w:rPr>
          <w:szCs w:val="24"/>
        </w:rPr>
      </w:pPr>
      <w:proofErr w:type="spellStart"/>
      <w:r>
        <w:rPr>
          <w:szCs w:val="24"/>
        </w:rPr>
        <w:t>Selle</w:t>
      </w:r>
      <w:proofErr w:type="spellEnd"/>
      <w:r>
        <w:rPr>
          <w:szCs w:val="24"/>
        </w:rPr>
        <w:t xml:space="preserve"> (2003) writes, “</w:t>
      </w:r>
      <w:proofErr w:type="gramStart"/>
      <w:r>
        <w:rPr>
          <w:szCs w:val="24"/>
        </w:rPr>
        <w:t>to</w:t>
      </w:r>
      <w:proofErr w:type="gramEnd"/>
      <w:r>
        <w:rPr>
          <w:szCs w:val="24"/>
        </w:rPr>
        <w:t xml:space="preserve"> retard deterioration, separate microfilm by base type. Segregate acetate film from polyester-based microfilm and other material” (p. 4). To accomplish this, libraries must first identify acetate-based materials. Besides smelling for vinegar, holding a roll of microfilm up to the light can identify film type (</w:t>
      </w:r>
      <w:proofErr w:type="spellStart"/>
      <w:r>
        <w:rPr>
          <w:szCs w:val="24"/>
        </w:rPr>
        <w:t>Selle</w:t>
      </w:r>
      <w:proofErr w:type="spellEnd"/>
      <w:r>
        <w:rPr>
          <w:szCs w:val="24"/>
        </w:rPr>
        <w:t>, 2003). “If it is opaque (light does not pass through), the film is likely acetate. If the film is translucent, it is probably a polyester-based film” (</w:t>
      </w:r>
      <w:proofErr w:type="spellStart"/>
      <w:r>
        <w:rPr>
          <w:szCs w:val="24"/>
        </w:rPr>
        <w:t>Selle</w:t>
      </w:r>
      <w:proofErr w:type="spellEnd"/>
      <w:r>
        <w:rPr>
          <w:szCs w:val="24"/>
        </w:rPr>
        <w:t xml:space="preserve">, 2003, p. 3). Finally, tearing a small piece of the film can help to identify its base. </w:t>
      </w:r>
      <w:proofErr w:type="gramStart"/>
      <w:r>
        <w:rPr>
          <w:szCs w:val="24"/>
        </w:rPr>
        <w:t>Polyester-based film is stronger and will not rip, while the acetate-based film will (</w:t>
      </w:r>
      <w:proofErr w:type="spellStart"/>
      <w:r>
        <w:rPr>
          <w:szCs w:val="24"/>
        </w:rPr>
        <w:t>Selle</w:t>
      </w:r>
      <w:proofErr w:type="spellEnd"/>
      <w:r>
        <w:rPr>
          <w:szCs w:val="24"/>
        </w:rPr>
        <w:t>, 2003).</w:t>
      </w:r>
      <w:proofErr w:type="gramEnd"/>
    </w:p>
    <w:p w:rsidR="00476EC4" w:rsidRDefault="00476EC4" w:rsidP="00476EC4">
      <w:pPr>
        <w:rPr>
          <w:b/>
          <w:szCs w:val="24"/>
        </w:rPr>
      </w:pPr>
      <w:r>
        <w:rPr>
          <w:b/>
          <w:szCs w:val="24"/>
        </w:rPr>
        <w:t>Investigate Digital Alternatives</w:t>
      </w:r>
    </w:p>
    <w:p w:rsidR="00476EC4" w:rsidRDefault="00476EC4" w:rsidP="00476EC4">
      <w:pPr>
        <w:rPr>
          <w:b/>
          <w:szCs w:val="24"/>
        </w:rPr>
      </w:pPr>
    </w:p>
    <w:p w:rsidR="00476EC4" w:rsidRDefault="00476EC4" w:rsidP="00476EC4">
      <w:pPr>
        <w:spacing w:line="480" w:lineRule="auto"/>
        <w:rPr>
          <w:szCs w:val="24"/>
        </w:rPr>
      </w:pPr>
      <w:r>
        <w:rPr>
          <w:szCs w:val="24"/>
        </w:rPr>
        <w:tab/>
        <w:t xml:space="preserve">Libraries with materials showing beginning signs of deterioration may want to consider digitizing them to prevent further loss. </w:t>
      </w:r>
      <w:proofErr w:type="gramStart"/>
      <w:r>
        <w:rPr>
          <w:szCs w:val="24"/>
        </w:rPr>
        <w:t>There are several factors libraries should consider</w:t>
      </w:r>
      <w:proofErr w:type="gramEnd"/>
      <w:r>
        <w:rPr>
          <w:szCs w:val="24"/>
        </w:rPr>
        <w:t xml:space="preserve"> before starting a microform digitization project. First, the size of the collection </w:t>
      </w:r>
      <w:r>
        <w:rPr>
          <w:szCs w:val="24"/>
        </w:rPr>
        <w:lastRenderedPageBreak/>
        <w:t xml:space="preserve">and the availability of funds can determine whether libraries should outsource the project. While commercial digitization services are available, libraries with access to high-quality microfilm scanners may want to consider doing the work in-house. Depending on the volume of materials, this process may be time-consuming and labor-intensive, and libraries completing the work themselves should have a prioritized list of those materials that require digitization. Adequate storage space for digital images </w:t>
      </w:r>
      <w:proofErr w:type="gramStart"/>
      <w:r>
        <w:rPr>
          <w:szCs w:val="24"/>
        </w:rPr>
        <w:t>on either</w:t>
      </w:r>
      <w:proofErr w:type="gramEnd"/>
      <w:r>
        <w:rPr>
          <w:szCs w:val="24"/>
        </w:rPr>
        <w:t xml:space="preserve"> internal servers or through cloud-based services also needs to be considered. Finally, the quality of the original reel of microfilm is of particular </w:t>
      </w:r>
      <w:proofErr w:type="gramStart"/>
      <w:r>
        <w:rPr>
          <w:szCs w:val="24"/>
        </w:rPr>
        <w:t>importance</w:t>
      </w:r>
      <w:proofErr w:type="gramEnd"/>
      <w:r>
        <w:rPr>
          <w:szCs w:val="24"/>
        </w:rPr>
        <w:t xml:space="preserve"> as it will determine the quality of the digital image (</w:t>
      </w:r>
      <w:proofErr w:type="spellStart"/>
      <w:r>
        <w:rPr>
          <w:szCs w:val="24"/>
        </w:rPr>
        <w:t>Canepi</w:t>
      </w:r>
      <w:proofErr w:type="spellEnd"/>
      <w:r>
        <w:rPr>
          <w:szCs w:val="24"/>
        </w:rPr>
        <w:t>, 2013). Digitization, like with other remediation options, will not stop active deterioration. However, it is a way to preserve information while at the same time providing service copies for library users.</w:t>
      </w:r>
    </w:p>
    <w:p w:rsidR="00476EC4" w:rsidRDefault="00476EC4" w:rsidP="00476EC4">
      <w:pPr>
        <w:spacing w:line="480" w:lineRule="auto"/>
        <w:ind w:firstLine="720"/>
        <w:rPr>
          <w:szCs w:val="24"/>
        </w:rPr>
      </w:pPr>
      <w:r>
        <w:rPr>
          <w:szCs w:val="24"/>
        </w:rPr>
        <w:t>When digitizing materials is not possible, libraries should explore other digital alternatives. Many options containing digital access to historical newspapers, books, and other documents are freely available online or via paid subscription. Most notable is the Library of Congress’ Chronicling America (</w:t>
      </w:r>
      <w:hyperlink r:id="rId12" w:history="1">
        <w:r w:rsidRPr="00972190">
          <w:rPr>
            <w:rStyle w:val="Hyperlink"/>
            <w:szCs w:val="24"/>
          </w:rPr>
          <w:t>https://chroniclingamerica.loc.gov/</w:t>
        </w:r>
      </w:hyperlink>
      <w:r>
        <w:rPr>
          <w:szCs w:val="24"/>
        </w:rPr>
        <w:t>), which provides free access to digitized copies of historical newspapers published across the United States. The Internet Archive (</w:t>
      </w:r>
      <w:hyperlink r:id="rId13" w:history="1">
        <w:r w:rsidRPr="00972190">
          <w:rPr>
            <w:rStyle w:val="Hyperlink"/>
            <w:szCs w:val="24"/>
          </w:rPr>
          <w:t>https://archive.org/</w:t>
        </w:r>
      </w:hyperlink>
      <w:r>
        <w:rPr>
          <w:szCs w:val="24"/>
        </w:rPr>
        <w:t xml:space="preserve">) and </w:t>
      </w:r>
      <w:proofErr w:type="spellStart"/>
      <w:r>
        <w:rPr>
          <w:szCs w:val="24"/>
        </w:rPr>
        <w:t>HathiTrust</w:t>
      </w:r>
      <w:proofErr w:type="spellEnd"/>
      <w:r>
        <w:rPr>
          <w:szCs w:val="24"/>
        </w:rPr>
        <w:t xml:space="preserve"> (</w:t>
      </w:r>
      <w:hyperlink r:id="rId14" w:history="1">
        <w:r w:rsidRPr="00972190">
          <w:rPr>
            <w:rStyle w:val="Hyperlink"/>
            <w:szCs w:val="24"/>
          </w:rPr>
          <w:t>https://www.hathitrust.org/</w:t>
        </w:r>
      </w:hyperlink>
      <w:r>
        <w:rPr>
          <w:szCs w:val="24"/>
        </w:rPr>
        <w:t xml:space="preserve">) both feature digitized copies of books and documents and are free to search but may have viewing restrictions that vary by item. Finally, subscription services such as Newspapers.com (https://www.newspapers.com/) provide access to thousands of digitized newspapers from all fifty states and selected countries. </w:t>
      </w:r>
    </w:p>
    <w:p w:rsidR="00476EC4" w:rsidRDefault="00476EC4" w:rsidP="00476EC4">
      <w:pPr>
        <w:jc w:val="center"/>
        <w:rPr>
          <w:b/>
          <w:szCs w:val="24"/>
        </w:rPr>
      </w:pPr>
      <w:r>
        <w:rPr>
          <w:b/>
          <w:szCs w:val="24"/>
        </w:rPr>
        <w:t xml:space="preserve">Disposing </w:t>
      </w:r>
      <w:r w:rsidR="000E32B2">
        <w:rPr>
          <w:b/>
          <w:szCs w:val="24"/>
        </w:rPr>
        <w:t xml:space="preserve">of </w:t>
      </w:r>
      <w:r>
        <w:rPr>
          <w:b/>
          <w:szCs w:val="24"/>
        </w:rPr>
        <w:t>Microform Materials</w:t>
      </w:r>
    </w:p>
    <w:p w:rsidR="00476EC4" w:rsidRDefault="00476EC4" w:rsidP="00476EC4">
      <w:pPr>
        <w:jc w:val="center"/>
        <w:rPr>
          <w:b/>
          <w:szCs w:val="24"/>
        </w:rPr>
      </w:pPr>
    </w:p>
    <w:p w:rsidR="00476EC4" w:rsidRDefault="00476EC4" w:rsidP="00476EC4">
      <w:pPr>
        <w:spacing w:line="480" w:lineRule="auto"/>
        <w:ind w:firstLine="720"/>
        <w:rPr>
          <w:szCs w:val="24"/>
        </w:rPr>
      </w:pPr>
      <w:r>
        <w:rPr>
          <w:szCs w:val="24"/>
        </w:rPr>
        <w:t xml:space="preserve">Microform materials should be disposed of using safe and environmentally </w:t>
      </w:r>
      <w:r>
        <w:rPr>
          <w:szCs w:val="24"/>
        </w:rPr>
        <w:lastRenderedPageBreak/>
        <w:t>responsible methods. However, “there is no one centralized method of donation, disposal, and discarding of film” (</w:t>
      </w:r>
      <w:proofErr w:type="spellStart"/>
      <w:r>
        <w:rPr>
          <w:szCs w:val="24"/>
        </w:rPr>
        <w:t>Canepi</w:t>
      </w:r>
      <w:proofErr w:type="spellEnd"/>
      <w:r>
        <w:rPr>
          <w:szCs w:val="24"/>
        </w:rPr>
        <w:t xml:space="preserve"> et al., 2013, Donating, Discarding, and Recycling section). Before disposing of any materials, </w:t>
      </w:r>
      <w:proofErr w:type="spellStart"/>
      <w:r>
        <w:rPr>
          <w:szCs w:val="24"/>
        </w:rPr>
        <w:t>Dupré</w:t>
      </w:r>
      <w:proofErr w:type="spellEnd"/>
      <w:r>
        <w:rPr>
          <w:szCs w:val="24"/>
        </w:rPr>
        <w:t xml:space="preserve"> Library staff consulted the UL Lafayette Office of Sustainability for guidance regarding disposal options. After some discussion, the issue </w:t>
      </w:r>
      <w:proofErr w:type="gramStart"/>
      <w:r>
        <w:rPr>
          <w:szCs w:val="24"/>
        </w:rPr>
        <w:t>was referred</w:t>
      </w:r>
      <w:proofErr w:type="gramEnd"/>
      <w:r>
        <w:rPr>
          <w:szCs w:val="24"/>
        </w:rPr>
        <w:t xml:space="preserve"> to the University’s Office of Environmental Health &amp; Safety. The author and the Associate Director of Public Safety attempted to determine the contaminated materials' manufacturer and production date but were unsuccessful. To not inadvertently </w:t>
      </w:r>
      <w:proofErr w:type="gramStart"/>
      <w:r>
        <w:rPr>
          <w:szCs w:val="24"/>
        </w:rPr>
        <w:t>throw away</w:t>
      </w:r>
      <w:proofErr w:type="gramEnd"/>
      <w:r>
        <w:rPr>
          <w:szCs w:val="24"/>
        </w:rPr>
        <w:t xml:space="preserve"> hazardous items in the garbage, these, and all future microform materials, are disposed of utilizing the University’s hazardous waste contractor.</w:t>
      </w:r>
    </w:p>
    <w:p w:rsidR="00476EC4" w:rsidRDefault="00476EC4" w:rsidP="00476EC4">
      <w:pPr>
        <w:spacing w:line="480" w:lineRule="auto"/>
        <w:ind w:firstLine="720"/>
        <w:rPr>
          <w:szCs w:val="24"/>
        </w:rPr>
      </w:pPr>
      <w:r>
        <w:rPr>
          <w:szCs w:val="24"/>
        </w:rPr>
        <w:t>Recycling may be an option for disposing of microform materials but depends largely on an area’s vendor availability. “Larger metropolitan areas tend to have a wider range of recycling collections and opportunities'' (</w:t>
      </w:r>
      <w:proofErr w:type="spellStart"/>
      <w:r>
        <w:rPr>
          <w:szCs w:val="24"/>
        </w:rPr>
        <w:t>Canepi</w:t>
      </w:r>
      <w:proofErr w:type="spellEnd"/>
      <w:r>
        <w:rPr>
          <w:szCs w:val="24"/>
        </w:rPr>
        <w:t xml:space="preserve"> et al., 2013, Discard Safely section). If not available at the local level, the National Association for Information Destruction (NAID) can provide libraries with guidance on the disposal of microform materials. The NAID “focuses on secure data destruction and advocates for a standard of best practices across governments and by service providers as well as product, equipment, and service suppliers globally” (National Association for Information Destruction, 2021). A searchable directory of certified vendors who provide micro-media destruction services is available on the NAID website, </w:t>
      </w:r>
      <w:hyperlink r:id="rId15" w:history="1">
        <w:r w:rsidRPr="00972190">
          <w:rPr>
            <w:rStyle w:val="Hyperlink"/>
            <w:szCs w:val="24"/>
          </w:rPr>
          <w:t>https://naidonline.org/</w:t>
        </w:r>
      </w:hyperlink>
      <w:r>
        <w:rPr>
          <w:szCs w:val="24"/>
        </w:rPr>
        <w:t xml:space="preserve">. </w:t>
      </w:r>
      <w:proofErr w:type="gramStart"/>
      <w:r>
        <w:rPr>
          <w:szCs w:val="24"/>
        </w:rPr>
        <w:t>Also</w:t>
      </w:r>
      <w:proofErr w:type="gramEnd"/>
      <w:r>
        <w:rPr>
          <w:szCs w:val="24"/>
        </w:rPr>
        <w:t>, libraries may want to seek guidance from hospitals and other medical providers who dispose of x-ray films or similar medical records (</w:t>
      </w:r>
      <w:proofErr w:type="spellStart"/>
      <w:r>
        <w:rPr>
          <w:szCs w:val="24"/>
        </w:rPr>
        <w:t>Canepi</w:t>
      </w:r>
      <w:proofErr w:type="spellEnd"/>
      <w:r>
        <w:rPr>
          <w:szCs w:val="24"/>
        </w:rPr>
        <w:t xml:space="preserve"> et al., 2013).</w:t>
      </w:r>
    </w:p>
    <w:p w:rsidR="00476EC4" w:rsidRDefault="00476EC4" w:rsidP="00476EC4">
      <w:pPr>
        <w:spacing w:line="480" w:lineRule="auto"/>
        <w:ind w:firstLine="720"/>
        <w:rPr>
          <w:b/>
          <w:i/>
          <w:szCs w:val="24"/>
          <w:highlight w:val="yellow"/>
        </w:rPr>
      </w:pPr>
      <w:r>
        <w:rPr>
          <w:szCs w:val="24"/>
        </w:rPr>
        <w:t xml:space="preserve">It is important to note that whatever method is used, the disposal process can take time to complete depending on the volume of materials and, most importantly, funding. </w:t>
      </w:r>
      <w:r>
        <w:rPr>
          <w:szCs w:val="24"/>
        </w:rPr>
        <w:lastRenderedPageBreak/>
        <w:t xml:space="preserve">Libraries that cannot support the project out of their budgets may need to secure funding from other sources. In this case, progress on the project may slow dramatically or stop altogether for extended </w:t>
      </w:r>
      <w:proofErr w:type="gramStart"/>
      <w:r>
        <w:rPr>
          <w:szCs w:val="24"/>
        </w:rPr>
        <w:t>periods of time</w:t>
      </w:r>
      <w:proofErr w:type="gramEnd"/>
      <w:r>
        <w:rPr>
          <w:szCs w:val="24"/>
        </w:rPr>
        <w:t xml:space="preserve">. At </w:t>
      </w:r>
      <w:proofErr w:type="spellStart"/>
      <w:r>
        <w:rPr>
          <w:szCs w:val="24"/>
        </w:rPr>
        <w:t>Dupré</w:t>
      </w:r>
      <w:proofErr w:type="spellEnd"/>
      <w:r>
        <w:rPr>
          <w:szCs w:val="24"/>
        </w:rPr>
        <w:t xml:space="preserve"> Library, because the library’s budget does not allow for this expense, special funding </w:t>
      </w:r>
      <w:proofErr w:type="gramStart"/>
      <w:r>
        <w:rPr>
          <w:szCs w:val="24"/>
        </w:rPr>
        <w:t>is requested</w:t>
      </w:r>
      <w:proofErr w:type="gramEnd"/>
      <w:r>
        <w:rPr>
          <w:szCs w:val="24"/>
        </w:rPr>
        <w:t xml:space="preserve"> from the University’s Administration and Finance Division. The entire process from identifying contaminated materials to final disposal has been slow and has taken as long as one year. Unfortunately, when funds are not available, the materials remain in place, providing ample time for more damage and information loss to occur.</w:t>
      </w:r>
    </w:p>
    <w:p w:rsidR="00476EC4" w:rsidRDefault="00476EC4" w:rsidP="00476EC4">
      <w:pPr>
        <w:jc w:val="center"/>
        <w:rPr>
          <w:b/>
          <w:szCs w:val="24"/>
        </w:rPr>
      </w:pPr>
      <w:r>
        <w:rPr>
          <w:b/>
          <w:szCs w:val="24"/>
        </w:rPr>
        <w:t>Conclusion</w:t>
      </w:r>
    </w:p>
    <w:p w:rsidR="00476EC4" w:rsidRDefault="00476EC4" w:rsidP="00476EC4">
      <w:pPr>
        <w:jc w:val="center"/>
        <w:rPr>
          <w:b/>
          <w:szCs w:val="24"/>
        </w:rPr>
      </w:pPr>
    </w:p>
    <w:p w:rsidR="00476EC4" w:rsidRDefault="00476EC4" w:rsidP="00476EC4">
      <w:pPr>
        <w:spacing w:line="480" w:lineRule="auto"/>
        <w:ind w:firstLine="720"/>
        <w:rPr>
          <w:szCs w:val="24"/>
        </w:rPr>
      </w:pPr>
      <w:r>
        <w:rPr>
          <w:szCs w:val="24"/>
        </w:rPr>
        <w:t xml:space="preserve">Microphotography has had a long and varied history. The acquisition of microform materials by libraries provided several benefits for the users and the libraries themselves. With the technology, users could access a wealth of information they may not have been able to otherwise. For libraries, microform products eliminated the need </w:t>
      </w:r>
      <w:proofErr w:type="gramStart"/>
      <w:r>
        <w:rPr>
          <w:szCs w:val="24"/>
        </w:rPr>
        <w:t>to keep decaying paper materials and save valuable shelving space because of their small footprint</w:t>
      </w:r>
      <w:proofErr w:type="gramEnd"/>
      <w:r>
        <w:rPr>
          <w:szCs w:val="24"/>
        </w:rPr>
        <w:t xml:space="preserve">. However, microforms introduced the possibility of a devastating loss to library collections due to their tendency to deteriorate over time. Regular maintenance and proper environmental and storage conditions are crucial for the health and stability of microform collections. While deterioration, once established, </w:t>
      </w:r>
      <w:proofErr w:type="gramStart"/>
      <w:r>
        <w:rPr>
          <w:szCs w:val="24"/>
        </w:rPr>
        <w:t>cannot be stopped</w:t>
      </w:r>
      <w:proofErr w:type="gramEnd"/>
      <w:r>
        <w:rPr>
          <w:szCs w:val="24"/>
        </w:rPr>
        <w:t>, with early intervention and many remediation efforts, libraries can prevent loss and preserve valuable and often irreplaceable information.</w:t>
      </w:r>
    </w:p>
    <w:p w:rsidR="00476EC4" w:rsidRDefault="00476EC4" w:rsidP="00476EC4">
      <w:pPr>
        <w:spacing w:line="480" w:lineRule="auto"/>
        <w:ind w:firstLine="720"/>
        <w:rPr>
          <w:szCs w:val="24"/>
        </w:rPr>
      </w:pPr>
    </w:p>
    <w:p w:rsidR="00476EC4" w:rsidRDefault="00476EC4" w:rsidP="00476EC4">
      <w:pPr>
        <w:spacing w:line="480" w:lineRule="auto"/>
        <w:ind w:firstLine="720"/>
        <w:rPr>
          <w:szCs w:val="24"/>
        </w:rPr>
      </w:pPr>
    </w:p>
    <w:p w:rsidR="00476EC4" w:rsidRDefault="00476EC4" w:rsidP="00476EC4">
      <w:pPr>
        <w:spacing w:line="480" w:lineRule="auto"/>
        <w:ind w:firstLine="720"/>
        <w:rPr>
          <w:szCs w:val="24"/>
        </w:rPr>
      </w:pPr>
    </w:p>
    <w:p w:rsidR="00476EC4" w:rsidRDefault="00476EC4" w:rsidP="00476EC4">
      <w:pPr>
        <w:jc w:val="center"/>
        <w:rPr>
          <w:b/>
          <w:szCs w:val="24"/>
        </w:rPr>
      </w:pPr>
      <w:r>
        <w:rPr>
          <w:b/>
          <w:szCs w:val="24"/>
        </w:rPr>
        <w:lastRenderedPageBreak/>
        <w:t>References</w:t>
      </w:r>
    </w:p>
    <w:p w:rsidR="00476EC4" w:rsidRDefault="00476EC4" w:rsidP="00476EC4">
      <w:pPr>
        <w:rPr>
          <w:szCs w:val="24"/>
        </w:rPr>
      </w:pPr>
    </w:p>
    <w:p w:rsidR="00476EC4" w:rsidRDefault="00476EC4" w:rsidP="00476EC4">
      <w:pPr>
        <w:spacing w:line="480" w:lineRule="auto"/>
        <w:ind w:left="720" w:hanging="720"/>
        <w:rPr>
          <w:szCs w:val="24"/>
        </w:rPr>
      </w:pPr>
      <w:r>
        <w:rPr>
          <w:szCs w:val="24"/>
          <w:highlight w:val="white"/>
        </w:rPr>
        <w:t xml:space="preserve">Ahmad, I. R. (2020, May 19). </w:t>
      </w:r>
      <w:r>
        <w:rPr>
          <w:i/>
          <w:szCs w:val="24"/>
          <w:highlight w:val="white"/>
        </w:rPr>
        <w:t>Historical films may be decaying much faster than we thought thanks to ‘vinegar syndrome.’</w:t>
      </w:r>
      <w:r>
        <w:rPr>
          <w:szCs w:val="24"/>
          <w:highlight w:val="white"/>
        </w:rPr>
        <w:t xml:space="preserve"> The Conversation. </w:t>
      </w:r>
      <w:hyperlink r:id="rId16">
        <w:r>
          <w:rPr>
            <w:color w:val="1155CC"/>
            <w:szCs w:val="24"/>
            <w:highlight w:val="white"/>
            <w:u w:val="single"/>
          </w:rPr>
          <w:t>https://theconversation.com/historical-films-may-be-decaying-much-faster-than-we-thought-thanks-to-vinegar-syndrome-131712</w:t>
        </w:r>
      </w:hyperlink>
      <w:r>
        <w:rPr>
          <w:szCs w:val="24"/>
          <w:highlight w:val="white"/>
        </w:rPr>
        <w:t>.</w:t>
      </w:r>
    </w:p>
    <w:p w:rsidR="00BB6429" w:rsidRDefault="00476EC4" w:rsidP="00476EC4">
      <w:pPr>
        <w:spacing w:line="480" w:lineRule="auto"/>
        <w:rPr>
          <w:szCs w:val="24"/>
        </w:rPr>
      </w:pPr>
      <w:proofErr w:type="spellStart"/>
      <w:r>
        <w:rPr>
          <w:szCs w:val="24"/>
        </w:rPr>
        <w:t>Bethard</w:t>
      </w:r>
      <w:proofErr w:type="spellEnd"/>
      <w:r>
        <w:rPr>
          <w:szCs w:val="24"/>
        </w:rPr>
        <w:t xml:space="preserve">, A. Y. (ca. 2000). </w:t>
      </w:r>
      <w:r>
        <w:rPr>
          <w:i/>
          <w:color w:val="000000"/>
          <w:szCs w:val="24"/>
        </w:rPr>
        <w:t>Annual report, Microforms Department, 1999-2000</w:t>
      </w:r>
      <w:r>
        <w:rPr>
          <w:szCs w:val="24"/>
        </w:rPr>
        <w:t xml:space="preserve">. Alvin Y. </w:t>
      </w:r>
    </w:p>
    <w:p w:rsidR="00476EC4" w:rsidRDefault="00476EC4" w:rsidP="00BB6429">
      <w:pPr>
        <w:spacing w:line="480" w:lineRule="auto"/>
        <w:ind w:left="720"/>
        <w:rPr>
          <w:szCs w:val="24"/>
        </w:rPr>
      </w:pPr>
      <w:proofErr w:type="spellStart"/>
      <w:r>
        <w:rPr>
          <w:szCs w:val="24"/>
        </w:rPr>
        <w:t>Bethard</w:t>
      </w:r>
      <w:proofErr w:type="spellEnd"/>
      <w:r>
        <w:rPr>
          <w:szCs w:val="24"/>
        </w:rPr>
        <w:t xml:space="preserve"> Collection. (Collection 405, Box B, Folder 2-1). </w:t>
      </w:r>
      <w:proofErr w:type="spellStart"/>
      <w:r>
        <w:rPr>
          <w:szCs w:val="24"/>
        </w:rPr>
        <w:t>Acadiana</w:t>
      </w:r>
      <w:proofErr w:type="spellEnd"/>
      <w:r>
        <w:rPr>
          <w:szCs w:val="24"/>
        </w:rPr>
        <w:t xml:space="preserve"> Manuscripts Collection, Edith</w:t>
      </w:r>
      <w:r w:rsidR="00BB6429">
        <w:rPr>
          <w:szCs w:val="24"/>
        </w:rPr>
        <w:t xml:space="preserve"> </w:t>
      </w:r>
      <w:r>
        <w:rPr>
          <w:szCs w:val="24"/>
        </w:rPr>
        <w:t xml:space="preserve">Garland </w:t>
      </w:r>
      <w:proofErr w:type="spellStart"/>
      <w:r>
        <w:rPr>
          <w:szCs w:val="24"/>
        </w:rPr>
        <w:t>Dupré</w:t>
      </w:r>
      <w:proofErr w:type="spellEnd"/>
      <w:r>
        <w:rPr>
          <w:szCs w:val="24"/>
        </w:rPr>
        <w:t xml:space="preserve"> Library, University of Louisiana at Lafayette, Lafayette, LA. </w:t>
      </w:r>
    </w:p>
    <w:p w:rsidR="00BB6429" w:rsidRDefault="00476EC4" w:rsidP="00476EC4">
      <w:pPr>
        <w:spacing w:line="480" w:lineRule="auto"/>
        <w:rPr>
          <w:szCs w:val="24"/>
        </w:rPr>
      </w:pPr>
      <w:proofErr w:type="spellStart"/>
      <w:r>
        <w:rPr>
          <w:szCs w:val="24"/>
        </w:rPr>
        <w:t>Bethard</w:t>
      </w:r>
      <w:proofErr w:type="spellEnd"/>
      <w:r>
        <w:rPr>
          <w:szCs w:val="24"/>
        </w:rPr>
        <w:t xml:space="preserve">, A. Y. (ca. 2001). </w:t>
      </w:r>
      <w:r>
        <w:rPr>
          <w:i/>
          <w:szCs w:val="24"/>
        </w:rPr>
        <w:t>Annual report, Microforms Department, 2000-2001</w:t>
      </w:r>
      <w:r>
        <w:rPr>
          <w:szCs w:val="24"/>
        </w:rPr>
        <w:t xml:space="preserve">. Alvin Y. </w:t>
      </w:r>
    </w:p>
    <w:p w:rsidR="00476EC4" w:rsidRDefault="00476EC4" w:rsidP="00BB6429">
      <w:pPr>
        <w:spacing w:line="480" w:lineRule="auto"/>
        <w:ind w:left="720"/>
        <w:rPr>
          <w:szCs w:val="24"/>
        </w:rPr>
      </w:pPr>
      <w:proofErr w:type="spellStart"/>
      <w:r>
        <w:rPr>
          <w:szCs w:val="24"/>
        </w:rPr>
        <w:t>Bethard</w:t>
      </w:r>
      <w:proofErr w:type="spellEnd"/>
      <w:r w:rsidR="00BB6429">
        <w:rPr>
          <w:szCs w:val="24"/>
        </w:rPr>
        <w:t xml:space="preserve"> </w:t>
      </w:r>
      <w:r>
        <w:rPr>
          <w:szCs w:val="24"/>
        </w:rPr>
        <w:t xml:space="preserve">Collection. (Collection 405, Box B, Folder 2-1). </w:t>
      </w:r>
      <w:proofErr w:type="spellStart"/>
      <w:r>
        <w:rPr>
          <w:szCs w:val="24"/>
        </w:rPr>
        <w:t>Acadiana</w:t>
      </w:r>
      <w:proofErr w:type="spellEnd"/>
      <w:r>
        <w:rPr>
          <w:szCs w:val="24"/>
        </w:rPr>
        <w:t xml:space="preserve"> Manuscripts Collection, Edith</w:t>
      </w:r>
      <w:r w:rsidR="00BB6429">
        <w:rPr>
          <w:szCs w:val="24"/>
        </w:rPr>
        <w:t xml:space="preserve"> </w:t>
      </w:r>
      <w:r>
        <w:rPr>
          <w:szCs w:val="24"/>
        </w:rPr>
        <w:t xml:space="preserve">Garland </w:t>
      </w:r>
      <w:proofErr w:type="spellStart"/>
      <w:r>
        <w:rPr>
          <w:szCs w:val="24"/>
        </w:rPr>
        <w:t>Dupré</w:t>
      </w:r>
      <w:proofErr w:type="spellEnd"/>
      <w:r>
        <w:rPr>
          <w:szCs w:val="24"/>
        </w:rPr>
        <w:t xml:space="preserve"> Library, University of Louisiana at Lafayette, Lafayette, LA.</w:t>
      </w:r>
    </w:p>
    <w:p w:rsidR="00BB6429" w:rsidRDefault="00476EC4" w:rsidP="00476EC4">
      <w:pPr>
        <w:spacing w:line="480" w:lineRule="auto"/>
        <w:rPr>
          <w:szCs w:val="24"/>
        </w:rPr>
      </w:pPr>
      <w:proofErr w:type="spellStart"/>
      <w:r>
        <w:rPr>
          <w:szCs w:val="24"/>
        </w:rPr>
        <w:t>Bethard</w:t>
      </w:r>
      <w:proofErr w:type="spellEnd"/>
      <w:r>
        <w:rPr>
          <w:szCs w:val="24"/>
        </w:rPr>
        <w:t xml:space="preserve">, A. Y. (ca. 2004). </w:t>
      </w:r>
      <w:r>
        <w:rPr>
          <w:i/>
          <w:szCs w:val="24"/>
        </w:rPr>
        <w:t>Annual report, Microforms Department, 2003-2004</w:t>
      </w:r>
      <w:r>
        <w:rPr>
          <w:szCs w:val="24"/>
        </w:rPr>
        <w:t xml:space="preserve">. Alvin Y. </w:t>
      </w:r>
    </w:p>
    <w:p w:rsidR="00476EC4" w:rsidRDefault="00476EC4" w:rsidP="00BB6429">
      <w:pPr>
        <w:spacing w:line="480" w:lineRule="auto"/>
        <w:ind w:left="720"/>
        <w:rPr>
          <w:szCs w:val="24"/>
        </w:rPr>
      </w:pPr>
      <w:proofErr w:type="spellStart"/>
      <w:r>
        <w:rPr>
          <w:szCs w:val="24"/>
        </w:rPr>
        <w:t>Bethard</w:t>
      </w:r>
      <w:proofErr w:type="spellEnd"/>
      <w:r w:rsidR="00BB6429">
        <w:rPr>
          <w:szCs w:val="24"/>
        </w:rPr>
        <w:t xml:space="preserve"> </w:t>
      </w:r>
      <w:r>
        <w:rPr>
          <w:szCs w:val="24"/>
        </w:rPr>
        <w:t xml:space="preserve">Collection. (Collection 405, Box B, Folder 2-1). </w:t>
      </w:r>
      <w:proofErr w:type="spellStart"/>
      <w:r>
        <w:rPr>
          <w:szCs w:val="24"/>
        </w:rPr>
        <w:t>Acadiana</w:t>
      </w:r>
      <w:proofErr w:type="spellEnd"/>
      <w:r>
        <w:rPr>
          <w:szCs w:val="24"/>
        </w:rPr>
        <w:t xml:space="preserve"> Manuscripts Collection, Edith</w:t>
      </w:r>
      <w:r w:rsidR="00BB6429">
        <w:rPr>
          <w:szCs w:val="24"/>
        </w:rPr>
        <w:t xml:space="preserve"> </w:t>
      </w:r>
      <w:r>
        <w:rPr>
          <w:szCs w:val="24"/>
        </w:rPr>
        <w:t xml:space="preserve">Garland </w:t>
      </w:r>
      <w:proofErr w:type="spellStart"/>
      <w:r>
        <w:rPr>
          <w:szCs w:val="24"/>
        </w:rPr>
        <w:t>Dupré</w:t>
      </w:r>
      <w:proofErr w:type="spellEnd"/>
      <w:r>
        <w:rPr>
          <w:szCs w:val="24"/>
        </w:rPr>
        <w:t xml:space="preserve"> Library, University of Louisiana at Lafayette, Lafayette, LA.</w:t>
      </w:r>
    </w:p>
    <w:p w:rsidR="00BB6429" w:rsidRDefault="00476EC4" w:rsidP="00476EC4">
      <w:pPr>
        <w:spacing w:line="480" w:lineRule="auto"/>
        <w:rPr>
          <w:szCs w:val="24"/>
        </w:rPr>
      </w:pPr>
      <w:proofErr w:type="spellStart"/>
      <w:r>
        <w:rPr>
          <w:szCs w:val="24"/>
        </w:rPr>
        <w:t>Bethard</w:t>
      </w:r>
      <w:proofErr w:type="spellEnd"/>
      <w:r>
        <w:rPr>
          <w:szCs w:val="24"/>
        </w:rPr>
        <w:t xml:space="preserve">, A. Y. (ca. 2007). </w:t>
      </w:r>
      <w:r>
        <w:rPr>
          <w:i/>
          <w:szCs w:val="24"/>
        </w:rPr>
        <w:t>Annual report, Microforms Department, 2006-2007</w:t>
      </w:r>
      <w:r>
        <w:rPr>
          <w:szCs w:val="24"/>
        </w:rPr>
        <w:t xml:space="preserve">. Alvin Y. </w:t>
      </w:r>
    </w:p>
    <w:p w:rsidR="00476EC4" w:rsidRDefault="00476EC4" w:rsidP="00BB6429">
      <w:pPr>
        <w:spacing w:line="480" w:lineRule="auto"/>
        <w:ind w:left="720"/>
        <w:rPr>
          <w:szCs w:val="24"/>
        </w:rPr>
      </w:pPr>
      <w:proofErr w:type="spellStart"/>
      <w:r>
        <w:rPr>
          <w:szCs w:val="24"/>
        </w:rPr>
        <w:t>Bethard</w:t>
      </w:r>
      <w:proofErr w:type="spellEnd"/>
      <w:r w:rsidR="00BB6429">
        <w:rPr>
          <w:szCs w:val="24"/>
        </w:rPr>
        <w:t xml:space="preserve"> </w:t>
      </w:r>
      <w:r>
        <w:rPr>
          <w:szCs w:val="24"/>
        </w:rPr>
        <w:t xml:space="preserve">Collection. (Collection 405, Box B, Folder 2-1). </w:t>
      </w:r>
      <w:proofErr w:type="spellStart"/>
      <w:r>
        <w:rPr>
          <w:szCs w:val="24"/>
        </w:rPr>
        <w:t>Acadiana</w:t>
      </w:r>
      <w:proofErr w:type="spellEnd"/>
      <w:r>
        <w:rPr>
          <w:szCs w:val="24"/>
        </w:rPr>
        <w:t xml:space="preserve"> Manuscripts Collection, Edith</w:t>
      </w:r>
      <w:r w:rsidR="00BB6429">
        <w:rPr>
          <w:szCs w:val="24"/>
        </w:rPr>
        <w:t xml:space="preserve"> </w:t>
      </w:r>
      <w:r>
        <w:rPr>
          <w:szCs w:val="24"/>
        </w:rPr>
        <w:t xml:space="preserve">Garland </w:t>
      </w:r>
      <w:proofErr w:type="spellStart"/>
      <w:r>
        <w:rPr>
          <w:szCs w:val="24"/>
        </w:rPr>
        <w:t>Dupré</w:t>
      </w:r>
      <w:proofErr w:type="spellEnd"/>
      <w:r>
        <w:rPr>
          <w:szCs w:val="24"/>
        </w:rPr>
        <w:t xml:space="preserve"> Library, University of Louisiana at Lafayette, Lafayette, LA.</w:t>
      </w:r>
    </w:p>
    <w:p w:rsidR="00BB6429" w:rsidRDefault="00BB6429" w:rsidP="00476EC4">
      <w:pPr>
        <w:spacing w:line="480" w:lineRule="auto"/>
        <w:rPr>
          <w:szCs w:val="24"/>
        </w:rPr>
      </w:pPr>
    </w:p>
    <w:p w:rsidR="00BB6429" w:rsidRDefault="00BB6429" w:rsidP="00476EC4">
      <w:pPr>
        <w:spacing w:line="480" w:lineRule="auto"/>
        <w:rPr>
          <w:szCs w:val="24"/>
        </w:rPr>
      </w:pPr>
    </w:p>
    <w:p w:rsidR="00BB6429" w:rsidRDefault="00476EC4" w:rsidP="00476EC4">
      <w:pPr>
        <w:spacing w:line="480" w:lineRule="auto"/>
        <w:rPr>
          <w:szCs w:val="24"/>
        </w:rPr>
      </w:pPr>
      <w:proofErr w:type="spellStart"/>
      <w:r>
        <w:rPr>
          <w:szCs w:val="24"/>
        </w:rPr>
        <w:lastRenderedPageBreak/>
        <w:t>Bethard</w:t>
      </w:r>
      <w:proofErr w:type="spellEnd"/>
      <w:r>
        <w:rPr>
          <w:szCs w:val="24"/>
        </w:rPr>
        <w:t xml:space="preserve">, A. Y. (ca. 2013). </w:t>
      </w:r>
      <w:r>
        <w:rPr>
          <w:i/>
          <w:szCs w:val="24"/>
        </w:rPr>
        <w:t>Annual report, Microforms Department, 2012-2013</w:t>
      </w:r>
      <w:r>
        <w:rPr>
          <w:szCs w:val="24"/>
        </w:rPr>
        <w:t xml:space="preserve">. Alvin Y. </w:t>
      </w:r>
    </w:p>
    <w:p w:rsidR="00476EC4" w:rsidRDefault="00476EC4" w:rsidP="00BB6429">
      <w:pPr>
        <w:spacing w:line="480" w:lineRule="auto"/>
        <w:ind w:left="720"/>
        <w:rPr>
          <w:szCs w:val="24"/>
        </w:rPr>
      </w:pPr>
      <w:proofErr w:type="spellStart"/>
      <w:r>
        <w:rPr>
          <w:szCs w:val="24"/>
        </w:rPr>
        <w:t>Bethard</w:t>
      </w:r>
      <w:proofErr w:type="spellEnd"/>
      <w:r>
        <w:rPr>
          <w:szCs w:val="24"/>
        </w:rPr>
        <w:t xml:space="preserve"> Collection. (Collection 405, Box B, Folder 2-1). </w:t>
      </w:r>
      <w:proofErr w:type="spellStart"/>
      <w:r>
        <w:rPr>
          <w:szCs w:val="24"/>
        </w:rPr>
        <w:t>Acadiana</w:t>
      </w:r>
      <w:proofErr w:type="spellEnd"/>
      <w:r>
        <w:rPr>
          <w:szCs w:val="24"/>
        </w:rPr>
        <w:t xml:space="preserve"> Manuscripts Collection, Edith</w:t>
      </w:r>
      <w:r w:rsidR="00BB6429">
        <w:rPr>
          <w:szCs w:val="24"/>
        </w:rPr>
        <w:t xml:space="preserve"> </w:t>
      </w:r>
      <w:r>
        <w:rPr>
          <w:szCs w:val="24"/>
        </w:rPr>
        <w:t xml:space="preserve">Garland </w:t>
      </w:r>
      <w:proofErr w:type="spellStart"/>
      <w:r>
        <w:rPr>
          <w:szCs w:val="24"/>
        </w:rPr>
        <w:t>Dupré</w:t>
      </w:r>
      <w:proofErr w:type="spellEnd"/>
      <w:r>
        <w:rPr>
          <w:szCs w:val="24"/>
        </w:rPr>
        <w:t xml:space="preserve"> Library, University of Louisiana at Lafayette, Lafayette, LA.</w:t>
      </w:r>
    </w:p>
    <w:p w:rsidR="00476EC4" w:rsidRDefault="00476EC4" w:rsidP="00476EC4">
      <w:pPr>
        <w:spacing w:line="480" w:lineRule="auto"/>
        <w:rPr>
          <w:szCs w:val="24"/>
        </w:rPr>
      </w:pPr>
      <w:proofErr w:type="spellStart"/>
      <w:r>
        <w:rPr>
          <w:szCs w:val="24"/>
        </w:rPr>
        <w:t>Bigourdan</w:t>
      </w:r>
      <w:proofErr w:type="spellEnd"/>
      <w:r>
        <w:rPr>
          <w:szCs w:val="24"/>
        </w:rPr>
        <w:t>, J-L. (</w:t>
      </w:r>
      <w:proofErr w:type="spellStart"/>
      <w:r>
        <w:rPr>
          <w:szCs w:val="24"/>
        </w:rPr>
        <w:t>n.d.</w:t>
      </w:r>
      <w:proofErr w:type="spellEnd"/>
      <w:r>
        <w:rPr>
          <w:szCs w:val="24"/>
        </w:rPr>
        <w:t xml:space="preserve">) </w:t>
      </w:r>
      <w:r>
        <w:rPr>
          <w:i/>
          <w:szCs w:val="24"/>
        </w:rPr>
        <w:t>Vinegar syndrome: An action plan</w:t>
      </w:r>
      <w:r>
        <w:rPr>
          <w:szCs w:val="24"/>
        </w:rPr>
        <w:t>.</w:t>
      </w:r>
    </w:p>
    <w:p w:rsidR="00476EC4" w:rsidRDefault="0039697E" w:rsidP="00476EC4">
      <w:pPr>
        <w:spacing w:line="480" w:lineRule="auto"/>
        <w:ind w:firstLine="720"/>
        <w:rPr>
          <w:szCs w:val="24"/>
        </w:rPr>
      </w:pPr>
      <w:hyperlink r:id="rId17">
        <w:r w:rsidR="00476EC4">
          <w:rPr>
            <w:color w:val="1155CC"/>
            <w:szCs w:val="24"/>
            <w:u w:val="single"/>
          </w:rPr>
          <w:t>https://artelierestauracio.files.wordpress.com/2011/11/vinegar-syndrome.pdf</w:t>
        </w:r>
      </w:hyperlink>
      <w:r w:rsidR="00476EC4">
        <w:rPr>
          <w:szCs w:val="24"/>
        </w:rPr>
        <w:t>.</w:t>
      </w:r>
    </w:p>
    <w:p w:rsidR="00BB6429" w:rsidRDefault="00476EC4" w:rsidP="00476EC4">
      <w:pPr>
        <w:spacing w:line="480" w:lineRule="auto"/>
        <w:rPr>
          <w:i/>
          <w:szCs w:val="24"/>
        </w:rPr>
      </w:pPr>
      <w:proofErr w:type="spellStart"/>
      <w:r>
        <w:rPr>
          <w:szCs w:val="24"/>
        </w:rPr>
        <w:t>Canepi</w:t>
      </w:r>
      <w:proofErr w:type="spellEnd"/>
      <w:r>
        <w:rPr>
          <w:szCs w:val="24"/>
        </w:rPr>
        <w:t xml:space="preserve">, K., Ryder, B., </w:t>
      </w:r>
      <w:proofErr w:type="spellStart"/>
      <w:r>
        <w:rPr>
          <w:szCs w:val="24"/>
        </w:rPr>
        <w:t>Sitko</w:t>
      </w:r>
      <w:proofErr w:type="spellEnd"/>
      <w:r>
        <w:rPr>
          <w:szCs w:val="24"/>
        </w:rPr>
        <w:t xml:space="preserve">, M., and </w:t>
      </w:r>
      <w:proofErr w:type="spellStart"/>
      <w:r>
        <w:rPr>
          <w:szCs w:val="24"/>
        </w:rPr>
        <w:t>Weng</w:t>
      </w:r>
      <w:proofErr w:type="spellEnd"/>
      <w:r>
        <w:rPr>
          <w:szCs w:val="24"/>
        </w:rPr>
        <w:t xml:space="preserve">, C. (2013, August 16). </w:t>
      </w:r>
      <w:r>
        <w:rPr>
          <w:i/>
          <w:szCs w:val="24"/>
        </w:rPr>
        <w:t xml:space="preserve">Managing microforms </w:t>
      </w:r>
    </w:p>
    <w:p w:rsidR="00476EC4" w:rsidRDefault="00476EC4" w:rsidP="00BB6429">
      <w:pPr>
        <w:spacing w:line="480" w:lineRule="auto"/>
        <w:ind w:firstLine="720"/>
        <w:rPr>
          <w:szCs w:val="24"/>
        </w:rPr>
      </w:pPr>
      <w:proofErr w:type="gramStart"/>
      <w:r>
        <w:rPr>
          <w:i/>
          <w:szCs w:val="24"/>
        </w:rPr>
        <w:t>in</w:t>
      </w:r>
      <w:proofErr w:type="gramEnd"/>
      <w:r>
        <w:rPr>
          <w:i/>
          <w:szCs w:val="24"/>
        </w:rPr>
        <w:t xml:space="preserve"> the digital age</w:t>
      </w:r>
      <w:r>
        <w:rPr>
          <w:szCs w:val="24"/>
        </w:rPr>
        <w:t>. American Library Association.</w:t>
      </w:r>
      <w:r w:rsidR="00BB6429">
        <w:rPr>
          <w:szCs w:val="24"/>
        </w:rPr>
        <w:t xml:space="preserve"> </w:t>
      </w:r>
    </w:p>
    <w:p w:rsidR="00476EC4" w:rsidRDefault="0039697E" w:rsidP="00476EC4">
      <w:pPr>
        <w:spacing w:line="480" w:lineRule="auto"/>
        <w:ind w:firstLine="720"/>
        <w:rPr>
          <w:szCs w:val="24"/>
        </w:rPr>
      </w:pPr>
      <w:hyperlink r:id="rId18">
        <w:r w:rsidR="00476EC4">
          <w:rPr>
            <w:color w:val="1155CC"/>
            <w:szCs w:val="24"/>
            <w:u w:val="single"/>
          </w:rPr>
          <w:t>http://www.ala.org/alcts/resources/collect/serials/microforms</w:t>
        </w:r>
      </w:hyperlink>
      <w:r w:rsidR="00476EC4">
        <w:rPr>
          <w:szCs w:val="24"/>
        </w:rPr>
        <w:t>.</w:t>
      </w:r>
    </w:p>
    <w:p w:rsidR="00AA1CCC" w:rsidRDefault="00476EC4" w:rsidP="00476EC4">
      <w:pPr>
        <w:spacing w:line="480" w:lineRule="auto"/>
        <w:rPr>
          <w:i/>
          <w:szCs w:val="24"/>
        </w:rPr>
      </w:pPr>
      <w:r>
        <w:rPr>
          <w:szCs w:val="24"/>
        </w:rPr>
        <w:t xml:space="preserve">Gwinn, N. E. (Ed.). (1987). </w:t>
      </w:r>
      <w:r>
        <w:rPr>
          <w:i/>
          <w:szCs w:val="24"/>
        </w:rPr>
        <w:t xml:space="preserve">Preservation microfilming: A guide for librarians and </w:t>
      </w:r>
    </w:p>
    <w:p w:rsidR="00476EC4" w:rsidRDefault="00476EC4" w:rsidP="00AA1CCC">
      <w:pPr>
        <w:spacing w:line="480" w:lineRule="auto"/>
        <w:ind w:firstLine="720"/>
        <w:rPr>
          <w:szCs w:val="24"/>
        </w:rPr>
      </w:pPr>
      <w:proofErr w:type="gramStart"/>
      <w:r>
        <w:rPr>
          <w:i/>
          <w:szCs w:val="24"/>
        </w:rPr>
        <w:t>archivists</w:t>
      </w:r>
      <w:proofErr w:type="gramEnd"/>
      <w:r>
        <w:rPr>
          <w:szCs w:val="24"/>
        </w:rPr>
        <w:t xml:space="preserve">. American Library Association. </w:t>
      </w:r>
    </w:p>
    <w:p w:rsidR="00476EC4" w:rsidRDefault="00476EC4" w:rsidP="006432CB">
      <w:pPr>
        <w:spacing w:line="480" w:lineRule="auto"/>
        <w:rPr>
          <w:szCs w:val="24"/>
        </w:rPr>
      </w:pPr>
      <w:r>
        <w:rPr>
          <w:szCs w:val="24"/>
        </w:rPr>
        <w:t xml:space="preserve">Image Permanence Institute (2021). </w:t>
      </w:r>
      <w:r>
        <w:rPr>
          <w:i/>
          <w:szCs w:val="24"/>
        </w:rPr>
        <w:t>Using A-D strips</w:t>
      </w:r>
      <w:r>
        <w:rPr>
          <w:szCs w:val="24"/>
        </w:rPr>
        <w:t>.</w:t>
      </w:r>
      <w:r w:rsidR="006432CB">
        <w:rPr>
          <w:szCs w:val="24"/>
        </w:rPr>
        <w:t xml:space="preserve"> </w:t>
      </w:r>
      <w:hyperlink r:id="rId19">
        <w:r w:rsidRPr="006432CB">
          <w:rPr>
            <w:color w:val="1155CC"/>
            <w:sz w:val="22"/>
            <w:szCs w:val="24"/>
            <w:u w:val="single"/>
          </w:rPr>
          <w:t>https://www.filmcare.org/ad_strips</w:t>
        </w:r>
      </w:hyperlink>
      <w:r w:rsidRPr="006432CB">
        <w:rPr>
          <w:sz w:val="22"/>
          <w:szCs w:val="24"/>
        </w:rPr>
        <w:t>.</w:t>
      </w:r>
    </w:p>
    <w:p w:rsidR="00CF51C7" w:rsidRDefault="00476EC4" w:rsidP="00CF51C7">
      <w:pPr>
        <w:spacing w:line="480" w:lineRule="auto"/>
        <w:rPr>
          <w:i/>
          <w:szCs w:val="24"/>
        </w:rPr>
      </w:pPr>
      <w:r>
        <w:rPr>
          <w:szCs w:val="24"/>
        </w:rPr>
        <w:t>Institute of Museum and Library Services. (</w:t>
      </w:r>
      <w:proofErr w:type="spellStart"/>
      <w:r>
        <w:rPr>
          <w:szCs w:val="24"/>
        </w:rPr>
        <w:t>n.d.</w:t>
      </w:r>
      <w:proofErr w:type="spellEnd"/>
      <w:r>
        <w:rPr>
          <w:szCs w:val="24"/>
        </w:rPr>
        <w:t xml:space="preserve">) </w:t>
      </w:r>
      <w:r>
        <w:rPr>
          <w:i/>
          <w:szCs w:val="24"/>
        </w:rPr>
        <w:t xml:space="preserve">Preservation Self-Assessment Program </w:t>
      </w:r>
    </w:p>
    <w:p w:rsidR="00476EC4" w:rsidRDefault="00476EC4" w:rsidP="00CF51C7">
      <w:pPr>
        <w:spacing w:line="480" w:lineRule="auto"/>
        <w:ind w:left="720"/>
        <w:rPr>
          <w:szCs w:val="24"/>
        </w:rPr>
      </w:pPr>
      <w:r>
        <w:rPr>
          <w:i/>
          <w:szCs w:val="24"/>
        </w:rPr>
        <w:t>(PSAP):</w:t>
      </w:r>
      <w:r w:rsidR="00CF51C7">
        <w:rPr>
          <w:i/>
          <w:szCs w:val="24"/>
        </w:rPr>
        <w:t xml:space="preserve"> </w:t>
      </w:r>
      <w:r>
        <w:rPr>
          <w:i/>
          <w:szCs w:val="24"/>
        </w:rPr>
        <w:t>Microforms</w:t>
      </w:r>
      <w:r>
        <w:rPr>
          <w:szCs w:val="24"/>
        </w:rPr>
        <w:t xml:space="preserve">. University of Illinois at Urbana-Champaign. </w:t>
      </w:r>
      <w:hyperlink r:id="rId20" w:anchor="microfilmprocesses">
        <w:r>
          <w:rPr>
            <w:color w:val="1155CC"/>
            <w:szCs w:val="24"/>
            <w:u w:val="single"/>
          </w:rPr>
          <w:t>https://psap.library.illinois.edu/collection-id-guide/microform#microfilmprocesses</w:t>
        </w:r>
      </w:hyperlink>
      <w:r>
        <w:rPr>
          <w:szCs w:val="24"/>
        </w:rPr>
        <w:t xml:space="preserve">. </w:t>
      </w:r>
    </w:p>
    <w:p w:rsidR="00476EC4" w:rsidRDefault="00476EC4" w:rsidP="00476EC4">
      <w:pPr>
        <w:spacing w:line="480" w:lineRule="auto"/>
        <w:rPr>
          <w:szCs w:val="24"/>
        </w:rPr>
      </w:pPr>
      <w:r>
        <w:rPr>
          <w:szCs w:val="24"/>
        </w:rPr>
        <w:t xml:space="preserve">National Association for Information Destruction. (2021). </w:t>
      </w:r>
      <w:r>
        <w:rPr>
          <w:i/>
          <w:szCs w:val="24"/>
        </w:rPr>
        <w:t>About NAID</w:t>
      </w:r>
      <w:r>
        <w:rPr>
          <w:szCs w:val="24"/>
        </w:rPr>
        <w:t>.</w:t>
      </w:r>
    </w:p>
    <w:p w:rsidR="00476EC4" w:rsidRDefault="0039697E" w:rsidP="00476EC4">
      <w:pPr>
        <w:spacing w:line="480" w:lineRule="auto"/>
        <w:ind w:firstLine="720"/>
        <w:rPr>
          <w:szCs w:val="24"/>
        </w:rPr>
      </w:pPr>
      <w:hyperlink r:id="rId21">
        <w:r w:rsidR="00476EC4">
          <w:rPr>
            <w:color w:val="1155CC"/>
            <w:szCs w:val="24"/>
            <w:u w:val="single"/>
          </w:rPr>
          <w:t>https://naidonline.org/about/</w:t>
        </w:r>
      </w:hyperlink>
      <w:r w:rsidR="00476EC4">
        <w:rPr>
          <w:szCs w:val="24"/>
        </w:rPr>
        <w:t xml:space="preserve">. </w:t>
      </w:r>
    </w:p>
    <w:p w:rsidR="00CF51C7" w:rsidRDefault="00476EC4" w:rsidP="00476EC4">
      <w:pPr>
        <w:spacing w:line="480" w:lineRule="auto"/>
        <w:rPr>
          <w:szCs w:val="24"/>
        </w:rPr>
      </w:pPr>
      <w:r>
        <w:rPr>
          <w:szCs w:val="24"/>
        </w:rPr>
        <w:t xml:space="preserve">Reilly, J. M. (1993). </w:t>
      </w:r>
      <w:r>
        <w:rPr>
          <w:i/>
          <w:szCs w:val="24"/>
        </w:rPr>
        <w:t>IPI storage guide for acetate film</w:t>
      </w:r>
      <w:r>
        <w:rPr>
          <w:szCs w:val="24"/>
        </w:rPr>
        <w:t xml:space="preserve">. Rochester, NY: Image </w:t>
      </w:r>
    </w:p>
    <w:p w:rsidR="00476EC4" w:rsidRPr="00C4024D" w:rsidRDefault="00476EC4" w:rsidP="00CF51C7">
      <w:pPr>
        <w:spacing w:line="480" w:lineRule="auto"/>
        <w:ind w:left="720"/>
        <w:rPr>
          <w:sz w:val="22"/>
          <w:szCs w:val="24"/>
        </w:rPr>
      </w:pPr>
      <w:r>
        <w:rPr>
          <w:szCs w:val="24"/>
        </w:rPr>
        <w:t>Permanence</w:t>
      </w:r>
      <w:r w:rsidR="00CF51C7">
        <w:rPr>
          <w:szCs w:val="24"/>
        </w:rPr>
        <w:t xml:space="preserve"> </w:t>
      </w:r>
      <w:r>
        <w:rPr>
          <w:szCs w:val="24"/>
        </w:rPr>
        <w:t>Institute.</w:t>
      </w:r>
      <w:r w:rsidR="00CF51C7">
        <w:rPr>
          <w:szCs w:val="24"/>
        </w:rPr>
        <w:t xml:space="preserve"> </w:t>
      </w:r>
      <w:hyperlink r:id="rId22" w:history="1">
        <w:r w:rsidR="00C4024D" w:rsidRPr="00440ED4">
          <w:rPr>
            <w:rStyle w:val="Hyperlink"/>
            <w:sz w:val="22"/>
            <w:szCs w:val="24"/>
          </w:rPr>
          <w:t>https://s3.cad.rit.edu/ipi-assets/publications/acetate_guide.pdf</w:t>
        </w:r>
      </w:hyperlink>
      <w:r w:rsidRPr="00C4024D">
        <w:rPr>
          <w:sz w:val="22"/>
          <w:szCs w:val="24"/>
        </w:rPr>
        <w:t xml:space="preserve">. </w:t>
      </w:r>
    </w:p>
    <w:p w:rsidR="00476EC4" w:rsidRDefault="00476EC4" w:rsidP="00476EC4">
      <w:pPr>
        <w:spacing w:line="480" w:lineRule="auto"/>
        <w:rPr>
          <w:szCs w:val="24"/>
        </w:rPr>
      </w:pPr>
      <w:proofErr w:type="spellStart"/>
      <w:r>
        <w:rPr>
          <w:szCs w:val="24"/>
        </w:rPr>
        <w:t>Selle</w:t>
      </w:r>
      <w:proofErr w:type="spellEnd"/>
      <w:r>
        <w:rPr>
          <w:szCs w:val="24"/>
        </w:rPr>
        <w:t xml:space="preserve">, T. (2003). Acetate Microfilm. </w:t>
      </w:r>
      <w:r>
        <w:rPr>
          <w:i/>
          <w:szCs w:val="24"/>
        </w:rPr>
        <w:t>Publication No. 15</w:t>
      </w:r>
      <w:r>
        <w:rPr>
          <w:szCs w:val="24"/>
        </w:rPr>
        <w:t>. New York State Archives.</w:t>
      </w:r>
    </w:p>
    <w:p w:rsidR="00476EC4" w:rsidRDefault="0039697E" w:rsidP="00476EC4">
      <w:pPr>
        <w:spacing w:line="480" w:lineRule="auto"/>
        <w:ind w:firstLine="720"/>
        <w:rPr>
          <w:szCs w:val="24"/>
        </w:rPr>
      </w:pPr>
      <w:hyperlink r:id="rId23">
        <w:r w:rsidR="00476EC4">
          <w:rPr>
            <w:color w:val="1155CC"/>
            <w:szCs w:val="24"/>
            <w:u w:val="single"/>
          </w:rPr>
          <w:t>http://www.archives.nysed.gov/common/archives/files/mr_pub15.pdf</w:t>
        </w:r>
      </w:hyperlink>
      <w:r w:rsidR="00476EC4">
        <w:rPr>
          <w:szCs w:val="24"/>
        </w:rPr>
        <w:t xml:space="preserve">. </w:t>
      </w:r>
    </w:p>
    <w:p w:rsidR="00C4024D" w:rsidRDefault="00C4024D" w:rsidP="00476EC4">
      <w:pPr>
        <w:spacing w:line="480" w:lineRule="auto"/>
        <w:rPr>
          <w:szCs w:val="24"/>
        </w:rPr>
      </w:pPr>
    </w:p>
    <w:p w:rsidR="00CF51C7" w:rsidRDefault="00476EC4" w:rsidP="00476EC4">
      <w:pPr>
        <w:spacing w:line="480" w:lineRule="auto"/>
        <w:rPr>
          <w:szCs w:val="24"/>
        </w:rPr>
      </w:pPr>
      <w:r>
        <w:rPr>
          <w:szCs w:val="24"/>
        </w:rPr>
        <w:lastRenderedPageBreak/>
        <w:t xml:space="preserve">Simon, J. (2006, </w:t>
      </w:r>
      <w:proofErr w:type="gramStart"/>
      <w:r>
        <w:rPr>
          <w:szCs w:val="24"/>
        </w:rPr>
        <w:t>Fall</w:t>
      </w:r>
      <w:proofErr w:type="gramEnd"/>
      <w:r>
        <w:rPr>
          <w:szCs w:val="24"/>
        </w:rPr>
        <w:t xml:space="preserve">). 1956-2006: Fifty years of the Foreign Newspaper Microfilm </w:t>
      </w:r>
    </w:p>
    <w:p w:rsidR="00476EC4" w:rsidRDefault="00476EC4" w:rsidP="00CF51C7">
      <w:pPr>
        <w:spacing w:line="480" w:lineRule="auto"/>
        <w:ind w:left="720"/>
        <w:rPr>
          <w:szCs w:val="24"/>
        </w:rPr>
      </w:pPr>
      <w:r>
        <w:rPr>
          <w:szCs w:val="24"/>
        </w:rPr>
        <w:t>Project.</w:t>
      </w:r>
      <w:r w:rsidR="00CF51C7">
        <w:rPr>
          <w:szCs w:val="24"/>
        </w:rPr>
        <w:t xml:space="preserve"> </w:t>
      </w:r>
      <w:r>
        <w:rPr>
          <w:i/>
          <w:szCs w:val="24"/>
        </w:rPr>
        <w:t>Focus on Global Resources</w:t>
      </w:r>
      <w:r w:rsidR="00C4024D">
        <w:rPr>
          <w:szCs w:val="24"/>
        </w:rPr>
        <w:t>.</w:t>
      </w:r>
      <w:r>
        <w:rPr>
          <w:szCs w:val="24"/>
        </w:rPr>
        <w:t xml:space="preserve"> </w:t>
      </w:r>
      <w:hyperlink r:id="rId24">
        <w:r>
          <w:rPr>
            <w:color w:val="1155CC"/>
            <w:szCs w:val="24"/>
            <w:u w:val="single"/>
          </w:rPr>
          <w:t>https://www.crl.edu/focus/article/463</w:t>
        </w:r>
      </w:hyperlink>
      <w:r>
        <w:rPr>
          <w:szCs w:val="24"/>
        </w:rPr>
        <w:t xml:space="preserve">. </w:t>
      </w:r>
    </w:p>
    <w:p w:rsidR="00CF51C7" w:rsidRDefault="00476EC4" w:rsidP="00CF51C7">
      <w:pPr>
        <w:spacing w:line="480" w:lineRule="auto"/>
        <w:rPr>
          <w:szCs w:val="24"/>
        </w:rPr>
      </w:pPr>
      <w:r>
        <w:rPr>
          <w:szCs w:val="24"/>
        </w:rPr>
        <w:t xml:space="preserve">Turner, I. B. (ca. 2007). </w:t>
      </w:r>
      <w:r>
        <w:rPr>
          <w:i/>
          <w:szCs w:val="24"/>
        </w:rPr>
        <w:t>Annual report, Special Collections Department, 2006-2007</w:t>
      </w:r>
      <w:r>
        <w:rPr>
          <w:szCs w:val="24"/>
        </w:rPr>
        <w:t xml:space="preserve">. </w:t>
      </w:r>
    </w:p>
    <w:p w:rsidR="00CF51C7" w:rsidRDefault="00476EC4" w:rsidP="00CF51C7">
      <w:pPr>
        <w:spacing w:line="480" w:lineRule="auto"/>
        <w:ind w:firstLine="720"/>
        <w:rPr>
          <w:szCs w:val="24"/>
        </w:rPr>
      </w:pPr>
      <w:r>
        <w:rPr>
          <w:szCs w:val="24"/>
        </w:rPr>
        <w:t>University</w:t>
      </w:r>
      <w:r w:rsidR="00CF51C7">
        <w:rPr>
          <w:szCs w:val="24"/>
        </w:rPr>
        <w:t xml:space="preserve"> </w:t>
      </w:r>
      <w:r>
        <w:rPr>
          <w:szCs w:val="24"/>
        </w:rPr>
        <w:t xml:space="preserve">Libraries, Archives and Special Collections (Collection B, 18A). </w:t>
      </w:r>
    </w:p>
    <w:p w:rsidR="00476EC4" w:rsidRDefault="00476EC4" w:rsidP="00CF51C7">
      <w:pPr>
        <w:spacing w:line="480" w:lineRule="auto"/>
        <w:ind w:left="720"/>
        <w:rPr>
          <w:szCs w:val="24"/>
        </w:rPr>
      </w:pPr>
      <w:proofErr w:type="spellStart"/>
      <w:r>
        <w:rPr>
          <w:szCs w:val="24"/>
        </w:rPr>
        <w:t>Acadiana</w:t>
      </w:r>
      <w:proofErr w:type="spellEnd"/>
      <w:r>
        <w:rPr>
          <w:szCs w:val="24"/>
        </w:rPr>
        <w:t xml:space="preserve"> Manuscripts Collection, Edith Garland </w:t>
      </w:r>
      <w:proofErr w:type="spellStart"/>
      <w:r>
        <w:rPr>
          <w:szCs w:val="24"/>
        </w:rPr>
        <w:t>Dupré</w:t>
      </w:r>
      <w:proofErr w:type="spellEnd"/>
      <w:r>
        <w:rPr>
          <w:szCs w:val="24"/>
        </w:rPr>
        <w:t xml:space="preserve"> Library, University of Louisiana at Lafayette. </w:t>
      </w:r>
    </w:p>
    <w:p w:rsidR="00476EC4" w:rsidRDefault="00476EC4" w:rsidP="00476EC4">
      <w:pPr>
        <w:spacing w:line="480" w:lineRule="auto"/>
        <w:rPr>
          <w:szCs w:val="24"/>
        </w:rPr>
      </w:pPr>
      <w:r>
        <w:rPr>
          <w:szCs w:val="24"/>
        </w:rPr>
        <w:t xml:space="preserve">Virginia Department of Health (2018, October). </w:t>
      </w:r>
      <w:r>
        <w:rPr>
          <w:i/>
          <w:szCs w:val="24"/>
        </w:rPr>
        <w:t>Acetic acid</w:t>
      </w:r>
      <w:r>
        <w:rPr>
          <w:szCs w:val="24"/>
        </w:rPr>
        <w:t>.</w:t>
      </w:r>
      <w:r w:rsidR="00CF51C7">
        <w:rPr>
          <w:szCs w:val="24"/>
        </w:rPr>
        <w:t xml:space="preserve"> </w:t>
      </w:r>
    </w:p>
    <w:p w:rsidR="00476EC4" w:rsidRDefault="0039697E" w:rsidP="00E45007">
      <w:pPr>
        <w:spacing w:line="480" w:lineRule="auto"/>
        <w:ind w:left="720"/>
        <w:rPr>
          <w:szCs w:val="24"/>
        </w:rPr>
      </w:pPr>
      <w:hyperlink r:id="rId25" w:history="1">
        <w:r w:rsidR="001C25EB" w:rsidRPr="00440ED4">
          <w:rPr>
            <w:rStyle w:val="Hyperlink"/>
            <w:szCs w:val="24"/>
          </w:rPr>
          <w:t>https://www.vdh.virginia.gov/epidemiology/epidemiology-fact-sheets/acetic-acid/</w:t>
        </w:r>
      </w:hyperlink>
      <w:r w:rsidR="00476EC4">
        <w:rPr>
          <w:szCs w:val="24"/>
        </w:rPr>
        <w:t>.</w:t>
      </w:r>
    </w:p>
    <w:p w:rsidR="001C25EB" w:rsidRDefault="00476EC4" w:rsidP="00476EC4">
      <w:pPr>
        <w:spacing w:line="480" w:lineRule="auto"/>
        <w:rPr>
          <w:i/>
          <w:szCs w:val="24"/>
        </w:rPr>
      </w:pPr>
      <w:r>
        <w:rPr>
          <w:szCs w:val="24"/>
        </w:rPr>
        <w:t xml:space="preserve">Westcott, D. (2020, February). </w:t>
      </w:r>
      <w:r>
        <w:rPr>
          <w:i/>
          <w:szCs w:val="24"/>
        </w:rPr>
        <w:t xml:space="preserve">Dealing with our aging and deteriorating microfilm </w:t>
      </w:r>
    </w:p>
    <w:p w:rsidR="00476EC4" w:rsidRDefault="00476EC4" w:rsidP="001C25EB">
      <w:pPr>
        <w:spacing w:line="480" w:lineRule="auto"/>
        <w:ind w:firstLine="720"/>
        <w:rPr>
          <w:szCs w:val="24"/>
        </w:rPr>
      </w:pPr>
      <w:proofErr w:type="gramStart"/>
      <w:r>
        <w:rPr>
          <w:i/>
          <w:szCs w:val="24"/>
        </w:rPr>
        <w:t>collections</w:t>
      </w:r>
      <w:proofErr w:type="gramEnd"/>
      <w:r>
        <w:rPr>
          <w:i/>
          <w:szCs w:val="24"/>
        </w:rPr>
        <w:t>.</w:t>
      </w:r>
      <w:r w:rsidR="001C25EB">
        <w:rPr>
          <w:i/>
          <w:szCs w:val="24"/>
        </w:rPr>
        <w:t xml:space="preserve"> </w:t>
      </w:r>
      <w:r>
        <w:rPr>
          <w:szCs w:val="24"/>
        </w:rPr>
        <w:t>The Crowley Company.</w:t>
      </w:r>
    </w:p>
    <w:p w:rsidR="00476EC4" w:rsidRDefault="0039697E" w:rsidP="00476EC4">
      <w:pPr>
        <w:spacing w:line="480" w:lineRule="auto"/>
        <w:ind w:left="720"/>
        <w:rPr>
          <w:szCs w:val="24"/>
        </w:rPr>
      </w:pPr>
      <w:hyperlink r:id="rId26">
        <w:r w:rsidR="00476EC4">
          <w:rPr>
            <w:color w:val="1155CC"/>
            <w:szCs w:val="24"/>
            <w:u w:val="single"/>
          </w:rPr>
          <w:t>https://www.thecrowleycompany.com/wp-content/uploads/2017/09/DealingWithAgingMicrofilm-web.pdf</w:t>
        </w:r>
      </w:hyperlink>
      <w:r w:rsidR="00476EC4">
        <w:rPr>
          <w:szCs w:val="24"/>
        </w:rPr>
        <w:t xml:space="preserve">. </w:t>
      </w:r>
    </w:p>
    <w:p w:rsidR="00D277F4" w:rsidRDefault="00D277F4"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Default="00F33DBB" w:rsidP="00D277F4">
      <w:pPr>
        <w:spacing w:line="480" w:lineRule="auto"/>
        <w:rPr>
          <w:b/>
          <w:szCs w:val="24"/>
        </w:rPr>
      </w:pPr>
    </w:p>
    <w:p w:rsidR="00F33DBB" w:rsidRPr="00F33DBB" w:rsidRDefault="00F33DBB" w:rsidP="00F33DBB">
      <w:pPr>
        <w:rPr>
          <w:szCs w:val="24"/>
        </w:rPr>
      </w:pPr>
      <w:r>
        <w:rPr>
          <w:szCs w:val="24"/>
        </w:rPr>
        <w:t xml:space="preserve">Heather </w:t>
      </w:r>
      <w:proofErr w:type="spellStart"/>
      <w:r>
        <w:rPr>
          <w:szCs w:val="24"/>
        </w:rPr>
        <w:t>Plaisance</w:t>
      </w:r>
      <w:proofErr w:type="spellEnd"/>
      <w:r>
        <w:rPr>
          <w:szCs w:val="24"/>
        </w:rPr>
        <w:t xml:space="preserve">, Head of Reference &amp; Research Services, Edith Garland </w:t>
      </w:r>
      <w:proofErr w:type="spellStart"/>
      <w:r>
        <w:rPr>
          <w:szCs w:val="24"/>
        </w:rPr>
        <w:t>Dupré</w:t>
      </w:r>
      <w:proofErr w:type="spellEnd"/>
      <w:r>
        <w:rPr>
          <w:szCs w:val="24"/>
        </w:rPr>
        <w:t xml:space="preserve"> Library, University of Louisiana at Lafayette; </w:t>
      </w:r>
      <w:hyperlink r:id="rId27" w:history="1">
        <w:r w:rsidRPr="00BE4DF9">
          <w:rPr>
            <w:rStyle w:val="Hyperlink"/>
            <w:szCs w:val="24"/>
          </w:rPr>
          <w:t>heather.plaisance@louisiana.edu</w:t>
        </w:r>
      </w:hyperlink>
      <w:r>
        <w:rPr>
          <w:szCs w:val="24"/>
        </w:rPr>
        <w:t xml:space="preserve"> </w:t>
      </w:r>
    </w:p>
    <w:sectPr w:rsidR="00F33DBB" w:rsidRPr="00F33DBB" w:rsidSect="00F33DBB">
      <w:headerReference w:type="default" r:id="rId28"/>
      <w:footerReference w:type="default" r:id="rId29"/>
      <w:endnotePr>
        <w:numFmt w:val="decimal"/>
      </w:endnotePr>
      <w:type w:val="continuous"/>
      <w:pgSz w:w="12240" w:h="15840"/>
      <w:pgMar w:top="1440" w:right="1800" w:bottom="1440" w:left="1800" w:header="720" w:footer="864" w:gutter="0"/>
      <w:pgNumType w:start="77"/>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697E" w:rsidRDefault="0039697E">
      <w:r>
        <w:separator/>
      </w:r>
    </w:p>
  </w:endnote>
  <w:endnote w:type="continuationSeparator" w:id="0">
    <w:p w:rsidR="0039697E" w:rsidRDefault="00396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28F2" w:rsidRPr="00102B82" w:rsidRDefault="00102B82" w:rsidP="002C4660">
    <w:pPr>
      <w:tabs>
        <w:tab w:val="right" w:pos="8640"/>
      </w:tabs>
      <w:rPr>
        <w:kern w:val="0"/>
        <w:sz w:val="22"/>
        <w:szCs w:val="22"/>
      </w:rPr>
    </w:pPr>
    <w:r w:rsidRPr="00102B82">
      <w:rPr>
        <w:sz w:val="22"/>
        <w:szCs w:val="22"/>
      </w:rPr>
      <w:t xml:space="preserve">ISSN 2150-086X                                    Volume </w:t>
    </w:r>
    <w:r w:rsidR="00A11009">
      <w:rPr>
        <w:sz w:val="22"/>
        <w:szCs w:val="22"/>
      </w:rPr>
      <w:t>6</w:t>
    </w:r>
    <w:r w:rsidRPr="00102B82">
      <w:rPr>
        <w:sz w:val="22"/>
        <w:szCs w:val="22"/>
      </w:rPr>
      <w:t xml:space="preserve">: Issue </w:t>
    </w:r>
    <w:r w:rsidR="00A11009">
      <w:rPr>
        <w:sz w:val="22"/>
        <w:szCs w:val="22"/>
      </w:rPr>
      <w:t>1</w:t>
    </w:r>
    <w:r w:rsidRPr="00102B82">
      <w:rPr>
        <w:sz w:val="22"/>
        <w:szCs w:val="22"/>
      </w:rPr>
      <w:t xml:space="preserve"> (20</w:t>
    </w:r>
    <w:r w:rsidR="00A11009">
      <w:rPr>
        <w:sz w:val="22"/>
        <w:szCs w:val="22"/>
      </w:rPr>
      <w:t>21</w:t>
    </w:r>
    <w:r w:rsidRPr="00102B82">
      <w:rPr>
        <w:sz w:val="22"/>
        <w:szCs w:val="22"/>
      </w:rPr>
      <w:t>)</w:t>
    </w:r>
    <w:r w:rsidRPr="00102B82">
      <w:rPr>
        <w:kern w:val="0"/>
        <w:sz w:val="22"/>
        <w:szCs w:val="22"/>
      </w:rPr>
      <w:t xml:space="preserve"> </w:t>
    </w:r>
    <w:r w:rsidR="00373CC4">
      <w:rPr>
        <w:kern w:val="0"/>
        <w:sz w:val="22"/>
        <w:szCs w:val="22"/>
      </w:rPr>
      <w:tab/>
    </w:r>
    <w:r w:rsidRPr="00102B82">
      <w:rPr>
        <w:kern w:val="0"/>
        <w:sz w:val="22"/>
        <w:szCs w:val="22"/>
      </w:rPr>
      <w:t xml:space="preserve">Page </w:t>
    </w:r>
    <w:r w:rsidRPr="00102B82">
      <w:rPr>
        <w:kern w:val="0"/>
        <w:sz w:val="22"/>
        <w:szCs w:val="22"/>
      </w:rPr>
      <w:fldChar w:fldCharType="begin"/>
    </w:r>
    <w:r w:rsidRPr="00102B82">
      <w:rPr>
        <w:kern w:val="0"/>
        <w:sz w:val="22"/>
        <w:szCs w:val="22"/>
      </w:rPr>
      <w:instrText xml:space="preserve"> PAGE   \* MERGEFORMAT </w:instrText>
    </w:r>
    <w:r w:rsidRPr="00102B82">
      <w:rPr>
        <w:kern w:val="0"/>
        <w:sz w:val="22"/>
        <w:szCs w:val="22"/>
      </w:rPr>
      <w:fldChar w:fldCharType="separate"/>
    </w:r>
    <w:r w:rsidR="003136A7">
      <w:rPr>
        <w:noProof/>
        <w:kern w:val="0"/>
        <w:sz w:val="22"/>
        <w:szCs w:val="22"/>
      </w:rPr>
      <w:t>80</w:t>
    </w:r>
    <w:r w:rsidRPr="00102B82">
      <w:rPr>
        <w:kern w:val="0"/>
        <w:sz w:val="22"/>
        <w:szCs w:val="22"/>
      </w:rPr>
      <w:fldChar w:fldCharType="end"/>
    </w:r>
    <w:r w:rsidR="000E02B2">
      <w:rPr>
        <w:noProof/>
      </w:rPr>
      <mc:AlternateContent>
        <mc:Choice Requires="wpg">
          <w:drawing>
            <wp:anchor distT="0" distB="0" distL="114300" distR="114300" simplePos="0" relativeHeight="251660288" behindDoc="0" locked="0" layoutInCell="0" allowOverlap="1" wp14:anchorId="4EA5C5B6" wp14:editId="489EB5AD">
              <wp:simplePos x="0" y="0"/>
              <wp:positionH relativeFrom="page">
                <wp:align>center</wp:align>
              </wp:positionH>
              <wp:positionV relativeFrom="page">
                <wp:align>bottom</wp:align>
              </wp:positionV>
              <wp:extent cx="7753350" cy="822960"/>
              <wp:effectExtent l="0" t="0" r="19050" b="0"/>
              <wp:wrapNone/>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3350" cy="822960"/>
                        <a:chOff x="8" y="9"/>
                        <a:chExt cx="15823" cy="1439"/>
                      </a:xfrm>
                    </wpg:grpSpPr>
                    <wps:wsp>
                      <wps:cNvPr id="4" name="AutoShape 19"/>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 name="Rectangle 2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90000</wp14:pctHeight>
              </wp14:sizeRelV>
            </wp:anchor>
          </w:drawing>
        </mc:Choice>
        <mc:Fallback>
          <w:pict>
            <v:group w14:anchorId="19B7D9A6" id="Group 18" o:spid="_x0000_s1026" style="position:absolute;margin-left:0;margin-top:0;width:610.5pt;height:64.8pt;flip:y;z-index:251660288;mso-width-percent:1000;mso-height-percent:900;mso-position-horizontal:center;mso-position-horizontal-relative:page;mso-position-vertical:bottom;mso-position-vertical-relative:page;mso-width-percent:1000;mso-height-percent:900;mso-height-relative:bottom-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" o:allowincell="f">
              <v:shapetype id="_x0000_t32" coordsize="21600,21600" o:spt="32" o:oned="t" path="m,l21600,21600e" filled="f">
                <v:path arrowok="t" fillok="f" o:connecttype="none"/>
                <o:lock v:ext="edit" shapetype="t"/>
              </v:shapetype>
              <v:shape id="AutoShape 1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" strokecolor="#31849b"/>
              <v:rect id="Rectangle 2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w10:wrap anchorx="page" anchory="page"/>
            </v:group>
          </w:pict>
        </mc:Fallback>
      </mc:AlternateContent>
    </w:r>
    <w:r w:rsidR="000E02B2">
      <w:rPr>
        <w:noProof/>
      </w:rPr>
      <mc:AlternateContent>
        <mc:Choice Requires="wps">
          <w:drawing>
            <wp:anchor distT="0" distB="0" distL="114300" distR="114300" simplePos="0" relativeHeight="251657216" behindDoc="0" locked="0" layoutInCell="1" allowOverlap="1" wp14:anchorId="0BAC9088" wp14:editId="76316D59">
              <wp:simplePos x="0" y="0"/>
              <wp:positionH relativeFrom="page">
                <wp:posOffset>526415</wp:posOffset>
              </wp:positionH>
              <wp:positionV relativeFrom="page">
                <wp:posOffset>9235440</wp:posOffset>
              </wp:positionV>
              <wp:extent cx="90805" cy="807720"/>
              <wp:effectExtent l="0" t="0" r="23495" b="15240"/>
              <wp:wrapNone/>
              <wp:docPr id="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C0280C5" id="Rectangle 17" o:spid="_x0000_s1026" style="position:absolute;margin-left:41.45pt;margin-top:727.2pt;width:7.15pt;height:63.6pt;z-index:251657216;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" fillcolor="#4bacc6" strokecolor="#205867">
              <w10:wrap anchorx="page" anchory="page"/>
            </v:rect>
          </w:pict>
        </mc:Fallback>
      </mc:AlternateContent>
    </w:r>
    <w:r w:rsidR="000E02B2">
      <w:rPr>
        <w:noProof/>
      </w:rPr>
      <mc:AlternateContent>
        <mc:Choice Requires="wps">
          <w:drawing>
            <wp:anchor distT="0" distB="0" distL="114300" distR="114300" simplePos="0" relativeHeight="251655168" behindDoc="0" locked="0" layoutInCell="1" allowOverlap="1" wp14:anchorId="613CD528" wp14:editId="75CA5A09">
              <wp:simplePos x="0" y="0"/>
              <wp:positionH relativeFrom="page">
                <wp:posOffset>7155815</wp:posOffset>
              </wp:positionH>
              <wp:positionV relativeFrom="page">
                <wp:posOffset>9235440</wp:posOffset>
              </wp:positionV>
              <wp:extent cx="90805" cy="807720"/>
              <wp:effectExtent l="0" t="0" r="23495" b="1524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5B4CAFBB" id="Rectangle 16" o:spid="_x0000_s1026" style="position:absolute;margin-left:563.45pt;margin-top:727.2pt;width:7.15pt;height:63.6pt;z-index:25165516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" fillcolor="#4bacc6" strokecolor="#205867">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697E" w:rsidRDefault="0039697E">
      <w:r>
        <w:separator/>
      </w:r>
    </w:p>
  </w:footnote>
  <w:footnote w:type="continuationSeparator" w:id="0">
    <w:p w:rsidR="0039697E" w:rsidRDefault="00396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B82" w:rsidRPr="0094055E" w:rsidRDefault="00102B82">
    <w:pPr>
      <w:pStyle w:val="Header"/>
      <w:rPr>
        <w:i/>
        <w:sz w:val="22"/>
        <w:szCs w:val="22"/>
      </w:rPr>
    </w:pPr>
    <w:r w:rsidRPr="0094055E">
      <w:rPr>
        <w:i/>
        <w:sz w:val="22"/>
        <w:szCs w:val="22"/>
      </w:rPr>
      <w:t>Codex: the Journal of the Louisiana Chapter of the ACRL</w:t>
    </w:r>
  </w:p>
  <w:p w:rsidR="00E928F2" w:rsidRDefault="000E02B2">
    <w:pPr>
      <w:tabs>
        <w:tab w:val="center" w:pos="4320"/>
        <w:tab w:val="right" w:pos="8640"/>
      </w:tabs>
      <w:rPr>
        <w:kern w:val="0"/>
      </w:rPr>
    </w:pPr>
    <w:r>
      <w:rPr>
        <w:noProof/>
      </w:rPr>
      <mc:AlternateContent>
        <mc:Choice Requires="wpg">
          <w:drawing>
            <wp:anchor distT="0" distB="0" distL="114300" distR="114300" simplePos="0" relativeHeight="251659264" behindDoc="0" locked="0" layoutInCell="1" allowOverlap="1">
              <wp:simplePos x="0" y="0"/>
              <wp:positionH relativeFrom="page">
                <wp:align>center</wp:align>
              </wp:positionH>
              <wp:positionV relativeFrom="page">
                <wp:align>top</wp:align>
              </wp:positionV>
              <wp:extent cx="7753350" cy="822960"/>
              <wp:effectExtent l="0" t="0" r="19050" b="15240"/>
              <wp:wrapNone/>
              <wp:docPr id="8"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822960"/>
                        <a:chOff x="8" y="9"/>
                        <a:chExt cx="15823" cy="1439"/>
                      </a:xfrm>
                    </wpg:grpSpPr>
                    <wps:wsp>
                      <wps:cNvPr id="9" name="AutoShape 1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10" name="Rectangle 15"/>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w:pict>
            <v:group w14:anchorId="78A8B947" id="Group 13" o:spid="_x0000_s1026" style="position:absolute;margin-left:0;margin-top:0;width:610.5pt;height:64.8pt;z-index:251659264;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">
              <v:shapetype id="_x0000_t32" coordsize="21600,21600" o:spt="32" o:oned="t" path="m,l21600,21600e" filled="f">
                <v:path arrowok="t" fillok="f" o:connecttype="none"/>
                <o:lock v:ext="edit" shapetype="t"/>
              </v:shapetype>
              <v:shape id="AutoShape 1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" strokecolor="#31849b"/>
              <v:rect id="Rectangle 15"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" filled="f" stroked="f"/>
              <w10:wrap anchorx="page" anchory="page"/>
            </v:group>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7155815</wp:posOffset>
              </wp:positionH>
              <wp:positionV relativeFrom="page">
                <wp:posOffset>0</wp:posOffset>
              </wp:positionV>
              <wp:extent cx="90805" cy="807720"/>
              <wp:effectExtent l="0" t="0" r="23495" b="1524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491F31A" id="Rectangle 12" o:spid="_x0000_s1026" style="position:absolute;margin-left:563.45pt;margin-top:0;width:7.15pt;height:63.6pt;z-index:251658240;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" fillcolor="#4bacc6" strokecolor="#205867">
              <w10:wrap anchorx="page" anchory="page"/>
            </v:rect>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page">
                <wp:posOffset>526415</wp:posOffset>
              </wp:positionH>
              <wp:positionV relativeFrom="page">
                <wp:posOffset>0</wp:posOffset>
              </wp:positionV>
              <wp:extent cx="90805" cy="807720"/>
              <wp:effectExtent l="0" t="0" r="23495" b="1524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07720"/>
                      </a:xfrm>
                      <a:prstGeom prst="rect">
                        <a:avLst/>
                      </a:prstGeom>
                      <a:solidFill>
                        <a:srgbClr val="4BACC6"/>
                      </a:solidFill>
                      <a:ln w="9525">
                        <a:solidFill>
                          <a:srgbClr val="20586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AA8317D" id="Rectangle 11" o:spid="_x0000_s1026" style="position:absolute;margin-left:41.45pt;margin-top:0;width:7.15pt;height:63.6pt;z-index:251656192;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" fillcolor="#4bacc6" strokecolor="#205867">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4405E14"/>
    <w:lvl w:ilvl="0">
      <w:numFmt w:val="bullet"/>
      <w:lvlText w:val="*"/>
      <w:lvlJc w:val="left"/>
    </w:lvl>
  </w:abstractNum>
  <w:abstractNum w:abstractNumId="1" w15:restartNumberingAfterBreak="0">
    <w:nsid w:val="02505F5D"/>
    <w:multiLevelType w:val="hybridMultilevel"/>
    <w:tmpl w:val="51F0F6F2"/>
    <w:lvl w:ilvl="0" w:tplc="17AA39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0"/>
    <w:lvlOverride w:ilvl="0">
      <w:lvl w:ilvl="0">
        <w:start w:val="1"/>
        <w:numFmt w:val="bullet"/>
        <w:lvlText w:val=""/>
        <w:legacy w:legacy="1" w:legacySpace="0" w:legacyIndent="360"/>
        <w:lvlJc w:val="left"/>
        <w:rPr>
          <w:rFonts w:ascii="Wingdings" w:hAnsi="Wingdings"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pos w:val="sectEnd"/>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rPos" w:val="-1"/>
    <w:docVar w:name="ColorSet" w:val="-1"/>
    <w:docVar w:name="StylePos" w:val="-1"/>
    <w:docVar w:name="StyleSet" w:val="-1"/>
  </w:docVars>
  <w:rsids>
    <w:rsidRoot w:val="00E928F2"/>
    <w:rsid w:val="00005354"/>
    <w:rsid w:val="00005E7E"/>
    <w:rsid w:val="00011500"/>
    <w:rsid w:val="00012FDE"/>
    <w:rsid w:val="00014F3E"/>
    <w:rsid w:val="00015DCA"/>
    <w:rsid w:val="000209EA"/>
    <w:rsid w:val="00020C19"/>
    <w:rsid w:val="000225C5"/>
    <w:rsid w:val="0003348B"/>
    <w:rsid w:val="00034020"/>
    <w:rsid w:val="00035792"/>
    <w:rsid w:val="00037694"/>
    <w:rsid w:val="00040E6B"/>
    <w:rsid w:val="00041E7A"/>
    <w:rsid w:val="00044F85"/>
    <w:rsid w:val="00060EDE"/>
    <w:rsid w:val="00074BEB"/>
    <w:rsid w:val="000823E1"/>
    <w:rsid w:val="0008517F"/>
    <w:rsid w:val="000943E5"/>
    <w:rsid w:val="000A4ED1"/>
    <w:rsid w:val="000B55BC"/>
    <w:rsid w:val="000B7AA6"/>
    <w:rsid w:val="000D27B5"/>
    <w:rsid w:val="000D50B8"/>
    <w:rsid w:val="000E02B2"/>
    <w:rsid w:val="000E299A"/>
    <w:rsid w:val="000E32B2"/>
    <w:rsid w:val="000E3766"/>
    <w:rsid w:val="000E6FEB"/>
    <w:rsid w:val="000F4950"/>
    <w:rsid w:val="00102600"/>
    <w:rsid w:val="00102B82"/>
    <w:rsid w:val="0010539A"/>
    <w:rsid w:val="001109F0"/>
    <w:rsid w:val="00111265"/>
    <w:rsid w:val="001117AB"/>
    <w:rsid w:val="00117A6A"/>
    <w:rsid w:val="00124E03"/>
    <w:rsid w:val="00126E92"/>
    <w:rsid w:val="00130929"/>
    <w:rsid w:val="001344D0"/>
    <w:rsid w:val="00145F0E"/>
    <w:rsid w:val="001470F6"/>
    <w:rsid w:val="00164666"/>
    <w:rsid w:val="00174529"/>
    <w:rsid w:val="001910F0"/>
    <w:rsid w:val="00193719"/>
    <w:rsid w:val="00195E13"/>
    <w:rsid w:val="00196300"/>
    <w:rsid w:val="00196DD1"/>
    <w:rsid w:val="001A15BB"/>
    <w:rsid w:val="001A52E5"/>
    <w:rsid w:val="001B2317"/>
    <w:rsid w:val="001C25EB"/>
    <w:rsid w:val="001C4170"/>
    <w:rsid w:val="001C4BC4"/>
    <w:rsid w:val="001C6AFA"/>
    <w:rsid w:val="001C71AB"/>
    <w:rsid w:val="001D3347"/>
    <w:rsid w:val="001D5669"/>
    <w:rsid w:val="001E37F3"/>
    <w:rsid w:val="002026E4"/>
    <w:rsid w:val="00206DCA"/>
    <w:rsid w:val="0020713D"/>
    <w:rsid w:val="002133AA"/>
    <w:rsid w:val="00220215"/>
    <w:rsid w:val="0022637F"/>
    <w:rsid w:val="00227F9A"/>
    <w:rsid w:val="00240B43"/>
    <w:rsid w:val="00242644"/>
    <w:rsid w:val="00242F9F"/>
    <w:rsid w:val="0024796A"/>
    <w:rsid w:val="00250EAB"/>
    <w:rsid w:val="00255A14"/>
    <w:rsid w:val="00257150"/>
    <w:rsid w:val="00257E13"/>
    <w:rsid w:val="002613E2"/>
    <w:rsid w:val="00264398"/>
    <w:rsid w:val="00265390"/>
    <w:rsid w:val="00266678"/>
    <w:rsid w:val="00266BBB"/>
    <w:rsid w:val="00272CE6"/>
    <w:rsid w:val="00276B98"/>
    <w:rsid w:val="00285328"/>
    <w:rsid w:val="002A053F"/>
    <w:rsid w:val="002A57E8"/>
    <w:rsid w:val="002B1547"/>
    <w:rsid w:val="002B6283"/>
    <w:rsid w:val="002C4660"/>
    <w:rsid w:val="002C706B"/>
    <w:rsid w:val="002D001C"/>
    <w:rsid w:val="002D3278"/>
    <w:rsid w:val="002D4674"/>
    <w:rsid w:val="002F3446"/>
    <w:rsid w:val="002F4C95"/>
    <w:rsid w:val="00300EA4"/>
    <w:rsid w:val="00302B4B"/>
    <w:rsid w:val="0030558E"/>
    <w:rsid w:val="00307B25"/>
    <w:rsid w:val="003136A7"/>
    <w:rsid w:val="00316609"/>
    <w:rsid w:val="003174D0"/>
    <w:rsid w:val="0033288A"/>
    <w:rsid w:val="00355BCA"/>
    <w:rsid w:val="00362494"/>
    <w:rsid w:val="00367789"/>
    <w:rsid w:val="00372F40"/>
    <w:rsid w:val="00373CC4"/>
    <w:rsid w:val="003744C9"/>
    <w:rsid w:val="00376330"/>
    <w:rsid w:val="003770FE"/>
    <w:rsid w:val="0038130D"/>
    <w:rsid w:val="00390BBE"/>
    <w:rsid w:val="00393D6E"/>
    <w:rsid w:val="0039697E"/>
    <w:rsid w:val="00397A06"/>
    <w:rsid w:val="003A0905"/>
    <w:rsid w:val="003A0FBA"/>
    <w:rsid w:val="003A3494"/>
    <w:rsid w:val="003A469F"/>
    <w:rsid w:val="003C10FF"/>
    <w:rsid w:val="003C3A6F"/>
    <w:rsid w:val="003C686D"/>
    <w:rsid w:val="003D1F27"/>
    <w:rsid w:val="003D2E43"/>
    <w:rsid w:val="003E4421"/>
    <w:rsid w:val="003E5C7E"/>
    <w:rsid w:val="003F2D3C"/>
    <w:rsid w:val="003F4C95"/>
    <w:rsid w:val="003F6241"/>
    <w:rsid w:val="00401664"/>
    <w:rsid w:val="00404813"/>
    <w:rsid w:val="00414E9B"/>
    <w:rsid w:val="004152C4"/>
    <w:rsid w:val="00420B88"/>
    <w:rsid w:val="00427B2E"/>
    <w:rsid w:val="0043338E"/>
    <w:rsid w:val="00435A09"/>
    <w:rsid w:val="00437491"/>
    <w:rsid w:val="004401CB"/>
    <w:rsid w:val="00442FE0"/>
    <w:rsid w:val="0044383E"/>
    <w:rsid w:val="00446D04"/>
    <w:rsid w:val="00446E83"/>
    <w:rsid w:val="004603FC"/>
    <w:rsid w:val="004610CB"/>
    <w:rsid w:val="00461C46"/>
    <w:rsid w:val="00461D19"/>
    <w:rsid w:val="0046799A"/>
    <w:rsid w:val="00476EC4"/>
    <w:rsid w:val="00480B34"/>
    <w:rsid w:val="00480F49"/>
    <w:rsid w:val="004925AD"/>
    <w:rsid w:val="004925D5"/>
    <w:rsid w:val="004A230F"/>
    <w:rsid w:val="004B6DE9"/>
    <w:rsid w:val="004D428B"/>
    <w:rsid w:val="004D47E8"/>
    <w:rsid w:val="004E232F"/>
    <w:rsid w:val="004E5A92"/>
    <w:rsid w:val="0050044C"/>
    <w:rsid w:val="005042D7"/>
    <w:rsid w:val="00510E81"/>
    <w:rsid w:val="0052101F"/>
    <w:rsid w:val="005263B9"/>
    <w:rsid w:val="00536895"/>
    <w:rsid w:val="00542B7D"/>
    <w:rsid w:val="005444B8"/>
    <w:rsid w:val="005451C1"/>
    <w:rsid w:val="00551064"/>
    <w:rsid w:val="0055239D"/>
    <w:rsid w:val="00556AD7"/>
    <w:rsid w:val="00560122"/>
    <w:rsid w:val="005640CE"/>
    <w:rsid w:val="00565462"/>
    <w:rsid w:val="00586CC3"/>
    <w:rsid w:val="00590280"/>
    <w:rsid w:val="005927FF"/>
    <w:rsid w:val="005968FD"/>
    <w:rsid w:val="005A3B2B"/>
    <w:rsid w:val="005A4DAB"/>
    <w:rsid w:val="005A5CFC"/>
    <w:rsid w:val="005B0177"/>
    <w:rsid w:val="005B069D"/>
    <w:rsid w:val="005B1BB5"/>
    <w:rsid w:val="005D061B"/>
    <w:rsid w:val="005D7006"/>
    <w:rsid w:val="005E40A3"/>
    <w:rsid w:val="005E4A29"/>
    <w:rsid w:val="005F3CB8"/>
    <w:rsid w:val="005F468A"/>
    <w:rsid w:val="005F6C97"/>
    <w:rsid w:val="00604677"/>
    <w:rsid w:val="006047A7"/>
    <w:rsid w:val="00620100"/>
    <w:rsid w:val="006230B6"/>
    <w:rsid w:val="00626127"/>
    <w:rsid w:val="006317D6"/>
    <w:rsid w:val="00631DDA"/>
    <w:rsid w:val="00632ADC"/>
    <w:rsid w:val="006350FE"/>
    <w:rsid w:val="00637B26"/>
    <w:rsid w:val="0064117C"/>
    <w:rsid w:val="00642A91"/>
    <w:rsid w:val="00642C23"/>
    <w:rsid w:val="006432CB"/>
    <w:rsid w:val="00646E0C"/>
    <w:rsid w:val="006477D3"/>
    <w:rsid w:val="00647FDC"/>
    <w:rsid w:val="00657153"/>
    <w:rsid w:val="00675B30"/>
    <w:rsid w:val="00691479"/>
    <w:rsid w:val="00694B9C"/>
    <w:rsid w:val="00696A23"/>
    <w:rsid w:val="006A19F6"/>
    <w:rsid w:val="006A7B6D"/>
    <w:rsid w:val="006B1837"/>
    <w:rsid w:val="006B371E"/>
    <w:rsid w:val="006B37B0"/>
    <w:rsid w:val="006D0BE7"/>
    <w:rsid w:val="006E17B5"/>
    <w:rsid w:val="006E1FBF"/>
    <w:rsid w:val="006E4BD4"/>
    <w:rsid w:val="006E7C7E"/>
    <w:rsid w:val="006F2424"/>
    <w:rsid w:val="006F48A8"/>
    <w:rsid w:val="007039A3"/>
    <w:rsid w:val="00707F3B"/>
    <w:rsid w:val="007101BA"/>
    <w:rsid w:val="00710BF3"/>
    <w:rsid w:val="00710D55"/>
    <w:rsid w:val="00717483"/>
    <w:rsid w:val="0071755E"/>
    <w:rsid w:val="0073117D"/>
    <w:rsid w:val="00733124"/>
    <w:rsid w:val="0074226A"/>
    <w:rsid w:val="00755C97"/>
    <w:rsid w:val="0076126F"/>
    <w:rsid w:val="007718B5"/>
    <w:rsid w:val="00771B64"/>
    <w:rsid w:val="00772BCB"/>
    <w:rsid w:val="00776B67"/>
    <w:rsid w:val="00777B31"/>
    <w:rsid w:val="00787DFD"/>
    <w:rsid w:val="00790E5D"/>
    <w:rsid w:val="00791F88"/>
    <w:rsid w:val="0079247B"/>
    <w:rsid w:val="007960AC"/>
    <w:rsid w:val="00796EB8"/>
    <w:rsid w:val="007A6F10"/>
    <w:rsid w:val="007A7830"/>
    <w:rsid w:val="007B208A"/>
    <w:rsid w:val="007B301D"/>
    <w:rsid w:val="007B6059"/>
    <w:rsid w:val="007C78DF"/>
    <w:rsid w:val="007D4752"/>
    <w:rsid w:val="007D5B9E"/>
    <w:rsid w:val="007E1ACF"/>
    <w:rsid w:val="007E2DA3"/>
    <w:rsid w:val="007E4737"/>
    <w:rsid w:val="007F1F60"/>
    <w:rsid w:val="007F2C6C"/>
    <w:rsid w:val="007F397A"/>
    <w:rsid w:val="007F6A9F"/>
    <w:rsid w:val="007F78C6"/>
    <w:rsid w:val="008030A9"/>
    <w:rsid w:val="00804011"/>
    <w:rsid w:val="00807D7F"/>
    <w:rsid w:val="00816A2A"/>
    <w:rsid w:val="008274F6"/>
    <w:rsid w:val="008379DE"/>
    <w:rsid w:val="00846843"/>
    <w:rsid w:val="00851016"/>
    <w:rsid w:val="00851228"/>
    <w:rsid w:val="008563CB"/>
    <w:rsid w:val="0085788E"/>
    <w:rsid w:val="00863C5A"/>
    <w:rsid w:val="00865C80"/>
    <w:rsid w:val="008827D1"/>
    <w:rsid w:val="008833F0"/>
    <w:rsid w:val="008859E9"/>
    <w:rsid w:val="008870B7"/>
    <w:rsid w:val="00887FA6"/>
    <w:rsid w:val="00895DCF"/>
    <w:rsid w:val="00896F71"/>
    <w:rsid w:val="008A1893"/>
    <w:rsid w:val="008A1F35"/>
    <w:rsid w:val="008B1762"/>
    <w:rsid w:val="008B58DF"/>
    <w:rsid w:val="008C657E"/>
    <w:rsid w:val="008C7780"/>
    <w:rsid w:val="008D544F"/>
    <w:rsid w:val="008E1E63"/>
    <w:rsid w:val="008E7895"/>
    <w:rsid w:val="00901172"/>
    <w:rsid w:val="00901C31"/>
    <w:rsid w:val="00905C38"/>
    <w:rsid w:val="0092100B"/>
    <w:rsid w:val="009241E5"/>
    <w:rsid w:val="0092594B"/>
    <w:rsid w:val="009355AA"/>
    <w:rsid w:val="0094055E"/>
    <w:rsid w:val="00944B00"/>
    <w:rsid w:val="00947B68"/>
    <w:rsid w:val="00950FD9"/>
    <w:rsid w:val="009516D5"/>
    <w:rsid w:val="009517E6"/>
    <w:rsid w:val="0095522C"/>
    <w:rsid w:val="00956310"/>
    <w:rsid w:val="009630AD"/>
    <w:rsid w:val="00966D52"/>
    <w:rsid w:val="00976C9A"/>
    <w:rsid w:val="00983407"/>
    <w:rsid w:val="009860A2"/>
    <w:rsid w:val="00991125"/>
    <w:rsid w:val="009B1ACE"/>
    <w:rsid w:val="009B7C1D"/>
    <w:rsid w:val="009C01B5"/>
    <w:rsid w:val="009C6108"/>
    <w:rsid w:val="009D105E"/>
    <w:rsid w:val="009D3AD8"/>
    <w:rsid w:val="009D71C6"/>
    <w:rsid w:val="009E42C2"/>
    <w:rsid w:val="009F1072"/>
    <w:rsid w:val="009F4C2D"/>
    <w:rsid w:val="009F5674"/>
    <w:rsid w:val="00A0593F"/>
    <w:rsid w:val="00A11009"/>
    <w:rsid w:val="00A23DC7"/>
    <w:rsid w:val="00A248FA"/>
    <w:rsid w:val="00A30B5C"/>
    <w:rsid w:val="00A35222"/>
    <w:rsid w:val="00A36FDC"/>
    <w:rsid w:val="00A4006F"/>
    <w:rsid w:val="00A40D10"/>
    <w:rsid w:val="00A44516"/>
    <w:rsid w:val="00A44647"/>
    <w:rsid w:val="00A4799D"/>
    <w:rsid w:val="00A51399"/>
    <w:rsid w:val="00A57EC9"/>
    <w:rsid w:val="00A62013"/>
    <w:rsid w:val="00A640BE"/>
    <w:rsid w:val="00A66AD5"/>
    <w:rsid w:val="00A67381"/>
    <w:rsid w:val="00A71B8B"/>
    <w:rsid w:val="00A72531"/>
    <w:rsid w:val="00A737C3"/>
    <w:rsid w:val="00A80997"/>
    <w:rsid w:val="00A850DC"/>
    <w:rsid w:val="00A97BF3"/>
    <w:rsid w:val="00AA1CCC"/>
    <w:rsid w:val="00AA35F3"/>
    <w:rsid w:val="00AB5018"/>
    <w:rsid w:val="00AB503C"/>
    <w:rsid w:val="00AC4FF4"/>
    <w:rsid w:val="00AD1960"/>
    <w:rsid w:val="00AD315F"/>
    <w:rsid w:val="00AD403B"/>
    <w:rsid w:val="00AD4068"/>
    <w:rsid w:val="00AE4CEE"/>
    <w:rsid w:val="00AF5818"/>
    <w:rsid w:val="00B025DC"/>
    <w:rsid w:val="00B02F1D"/>
    <w:rsid w:val="00B076FC"/>
    <w:rsid w:val="00B15FF6"/>
    <w:rsid w:val="00B20797"/>
    <w:rsid w:val="00B21890"/>
    <w:rsid w:val="00B2440E"/>
    <w:rsid w:val="00B40018"/>
    <w:rsid w:val="00B473FA"/>
    <w:rsid w:val="00B56C09"/>
    <w:rsid w:val="00B60808"/>
    <w:rsid w:val="00B628E7"/>
    <w:rsid w:val="00B7176A"/>
    <w:rsid w:val="00B7317C"/>
    <w:rsid w:val="00B73DA2"/>
    <w:rsid w:val="00B768A3"/>
    <w:rsid w:val="00B81EC0"/>
    <w:rsid w:val="00B84E0E"/>
    <w:rsid w:val="00B90CAB"/>
    <w:rsid w:val="00BA3AAD"/>
    <w:rsid w:val="00BA700A"/>
    <w:rsid w:val="00BB5D14"/>
    <w:rsid w:val="00BB6429"/>
    <w:rsid w:val="00BC0ECE"/>
    <w:rsid w:val="00BC687D"/>
    <w:rsid w:val="00BC7D14"/>
    <w:rsid w:val="00BD5725"/>
    <w:rsid w:val="00BE12AA"/>
    <w:rsid w:val="00BE373C"/>
    <w:rsid w:val="00BE6E7A"/>
    <w:rsid w:val="00C05718"/>
    <w:rsid w:val="00C06B6A"/>
    <w:rsid w:val="00C115AB"/>
    <w:rsid w:val="00C14968"/>
    <w:rsid w:val="00C359D4"/>
    <w:rsid w:val="00C4024D"/>
    <w:rsid w:val="00C4596A"/>
    <w:rsid w:val="00C45C96"/>
    <w:rsid w:val="00C46CE5"/>
    <w:rsid w:val="00C617A0"/>
    <w:rsid w:val="00C87738"/>
    <w:rsid w:val="00C92084"/>
    <w:rsid w:val="00CA1EEE"/>
    <w:rsid w:val="00CA45D2"/>
    <w:rsid w:val="00CB19C5"/>
    <w:rsid w:val="00CB1FE1"/>
    <w:rsid w:val="00CB24BF"/>
    <w:rsid w:val="00CB7896"/>
    <w:rsid w:val="00CD2E27"/>
    <w:rsid w:val="00CD564B"/>
    <w:rsid w:val="00CE6960"/>
    <w:rsid w:val="00CF51C7"/>
    <w:rsid w:val="00CF6526"/>
    <w:rsid w:val="00D0392D"/>
    <w:rsid w:val="00D136DB"/>
    <w:rsid w:val="00D21325"/>
    <w:rsid w:val="00D21DE6"/>
    <w:rsid w:val="00D22E1F"/>
    <w:rsid w:val="00D23392"/>
    <w:rsid w:val="00D265EC"/>
    <w:rsid w:val="00D26BCF"/>
    <w:rsid w:val="00D277F4"/>
    <w:rsid w:val="00D44B55"/>
    <w:rsid w:val="00D47892"/>
    <w:rsid w:val="00D54858"/>
    <w:rsid w:val="00D628EF"/>
    <w:rsid w:val="00D6639D"/>
    <w:rsid w:val="00D872E1"/>
    <w:rsid w:val="00D9062C"/>
    <w:rsid w:val="00D93183"/>
    <w:rsid w:val="00D9335F"/>
    <w:rsid w:val="00D94AEE"/>
    <w:rsid w:val="00DA6C6A"/>
    <w:rsid w:val="00DB3B63"/>
    <w:rsid w:val="00DC0016"/>
    <w:rsid w:val="00DD0C56"/>
    <w:rsid w:val="00DD1666"/>
    <w:rsid w:val="00DD4132"/>
    <w:rsid w:val="00DE04F5"/>
    <w:rsid w:val="00DE0C8A"/>
    <w:rsid w:val="00DE1949"/>
    <w:rsid w:val="00DE1EEE"/>
    <w:rsid w:val="00DE4B7F"/>
    <w:rsid w:val="00DF3CAC"/>
    <w:rsid w:val="00DF4298"/>
    <w:rsid w:val="00E011A2"/>
    <w:rsid w:val="00E0512C"/>
    <w:rsid w:val="00E2597E"/>
    <w:rsid w:val="00E271C3"/>
    <w:rsid w:val="00E36133"/>
    <w:rsid w:val="00E3769C"/>
    <w:rsid w:val="00E37844"/>
    <w:rsid w:val="00E41E67"/>
    <w:rsid w:val="00E45007"/>
    <w:rsid w:val="00E456E5"/>
    <w:rsid w:val="00E540E1"/>
    <w:rsid w:val="00E54246"/>
    <w:rsid w:val="00E80EA9"/>
    <w:rsid w:val="00E928F2"/>
    <w:rsid w:val="00EA235F"/>
    <w:rsid w:val="00EA3434"/>
    <w:rsid w:val="00EA5A6A"/>
    <w:rsid w:val="00EC16C3"/>
    <w:rsid w:val="00ED16E6"/>
    <w:rsid w:val="00ED30D2"/>
    <w:rsid w:val="00ED4AE8"/>
    <w:rsid w:val="00EE27AF"/>
    <w:rsid w:val="00EE3BE3"/>
    <w:rsid w:val="00EE77A6"/>
    <w:rsid w:val="00EF0BB2"/>
    <w:rsid w:val="00EF1540"/>
    <w:rsid w:val="00EF25B4"/>
    <w:rsid w:val="00EF48AD"/>
    <w:rsid w:val="00EF7757"/>
    <w:rsid w:val="00EF7ED2"/>
    <w:rsid w:val="00F07839"/>
    <w:rsid w:val="00F11D62"/>
    <w:rsid w:val="00F15F50"/>
    <w:rsid w:val="00F16898"/>
    <w:rsid w:val="00F207D8"/>
    <w:rsid w:val="00F24D77"/>
    <w:rsid w:val="00F328C3"/>
    <w:rsid w:val="00F33DBB"/>
    <w:rsid w:val="00F35D54"/>
    <w:rsid w:val="00F427B0"/>
    <w:rsid w:val="00F4407A"/>
    <w:rsid w:val="00F45048"/>
    <w:rsid w:val="00F5632F"/>
    <w:rsid w:val="00F64227"/>
    <w:rsid w:val="00F66141"/>
    <w:rsid w:val="00F71713"/>
    <w:rsid w:val="00F90DDF"/>
    <w:rsid w:val="00FA78C7"/>
    <w:rsid w:val="00FB52C9"/>
    <w:rsid w:val="00FB7DB7"/>
    <w:rsid w:val="00FC1DA0"/>
    <w:rsid w:val="00FD65BF"/>
    <w:rsid w:val="00FE7C09"/>
    <w:rsid w:val="00FE7C21"/>
    <w:rsid w:val="00FF1CA0"/>
    <w:rsid w:val="00FF42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7BDE046"/>
  <w14:defaultImageDpi w14:val="0"/>
  <w15:docId w15:val="{BAA5A918-26A1-45E1-A32F-40971B18D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kern w:val="28"/>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C7E"/>
    <w:pPr>
      <w:widowControl w:val="0"/>
      <w:overflowPunct w:val="0"/>
      <w:autoSpaceDE w:val="0"/>
      <w:autoSpaceDN w:val="0"/>
      <w:adjustRightInd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66BBB"/>
  </w:style>
  <w:style w:type="character" w:customStyle="1" w:styleId="EndnoteTextChar">
    <w:name w:val="Endnote Text Char"/>
    <w:basedOn w:val="DefaultParagraphFont"/>
    <w:link w:val="EndnoteText"/>
    <w:uiPriority w:val="99"/>
    <w:semiHidden/>
    <w:locked/>
    <w:rsid w:val="00266BBB"/>
    <w:rPr>
      <w:rFonts w:ascii="Times New Roman" w:hAnsi="Times New Roman"/>
      <w:kern w:val="28"/>
    </w:rPr>
  </w:style>
  <w:style w:type="character" w:styleId="EndnoteReference">
    <w:name w:val="endnote reference"/>
    <w:basedOn w:val="DefaultParagraphFont"/>
    <w:uiPriority w:val="99"/>
    <w:semiHidden/>
    <w:unhideWhenUsed/>
    <w:rsid w:val="00266BBB"/>
    <w:rPr>
      <w:vertAlign w:val="superscript"/>
    </w:rPr>
  </w:style>
  <w:style w:type="character" w:styleId="CommentReference">
    <w:name w:val="annotation reference"/>
    <w:basedOn w:val="DefaultParagraphFont"/>
    <w:uiPriority w:val="99"/>
    <w:semiHidden/>
    <w:unhideWhenUsed/>
    <w:rsid w:val="001B2317"/>
    <w:rPr>
      <w:sz w:val="16"/>
    </w:rPr>
  </w:style>
  <w:style w:type="paragraph" w:styleId="CommentText">
    <w:name w:val="annotation text"/>
    <w:basedOn w:val="Normal"/>
    <w:link w:val="CommentTextChar"/>
    <w:uiPriority w:val="99"/>
    <w:semiHidden/>
    <w:unhideWhenUsed/>
    <w:rsid w:val="001B2317"/>
  </w:style>
  <w:style w:type="character" w:customStyle="1" w:styleId="CommentTextChar">
    <w:name w:val="Comment Text Char"/>
    <w:basedOn w:val="DefaultParagraphFont"/>
    <w:link w:val="CommentText"/>
    <w:uiPriority w:val="99"/>
    <w:semiHidden/>
    <w:locked/>
    <w:rsid w:val="001B2317"/>
    <w:rPr>
      <w:rFonts w:ascii="Times New Roman" w:hAnsi="Times New Roman"/>
      <w:kern w:val="28"/>
    </w:rPr>
  </w:style>
  <w:style w:type="paragraph" w:styleId="CommentSubject">
    <w:name w:val="annotation subject"/>
    <w:basedOn w:val="CommentText"/>
    <w:next w:val="CommentText"/>
    <w:link w:val="CommentSubjectChar"/>
    <w:uiPriority w:val="99"/>
    <w:semiHidden/>
    <w:unhideWhenUsed/>
    <w:rsid w:val="001B2317"/>
    <w:rPr>
      <w:b/>
      <w:bCs/>
    </w:rPr>
  </w:style>
  <w:style w:type="character" w:customStyle="1" w:styleId="CommentSubjectChar">
    <w:name w:val="Comment Subject Char"/>
    <w:basedOn w:val="CommentTextChar"/>
    <w:link w:val="CommentSubject"/>
    <w:uiPriority w:val="99"/>
    <w:semiHidden/>
    <w:locked/>
    <w:rsid w:val="001B2317"/>
    <w:rPr>
      <w:rFonts w:ascii="Times New Roman" w:hAnsi="Times New Roman"/>
      <w:b/>
      <w:kern w:val="28"/>
    </w:rPr>
  </w:style>
  <w:style w:type="paragraph" w:styleId="BalloonText">
    <w:name w:val="Balloon Text"/>
    <w:basedOn w:val="Normal"/>
    <w:link w:val="BalloonTextChar"/>
    <w:uiPriority w:val="99"/>
    <w:semiHidden/>
    <w:unhideWhenUsed/>
    <w:rsid w:val="001B231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B2317"/>
    <w:rPr>
      <w:rFonts w:ascii="Tahoma" w:hAnsi="Tahoma"/>
      <w:kern w:val="28"/>
      <w:sz w:val="16"/>
    </w:rPr>
  </w:style>
  <w:style w:type="paragraph" w:styleId="Header">
    <w:name w:val="header"/>
    <w:basedOn w:val="Normal"/>
    <w:link w:val="HeaderChar"/>
    <w:uiPriority w:val="99"/>
    <w:unhideWhenUsed/>
    <w:rsid w:val="002C4660"/>
    <w:pPr>
      <w:tabs>
        <w:tab w:val="center" w:pos="4680"/>
        <w:tab w:val="right" w:pos="9360"/>
      </w:tabs>
    </w:pPr>
  </w:style>
  <w:style w:type="character" w:customStyle="1" w:styleId="HeaderChar">
    <w:name w:val="Header Char"/>
    <w:basedOn w:val="DefaultParagraphFont"/>
    <w:link w:val="Header"/>
    <w:uiPriority w:val="99"/>
    <w:locked/>
    <w:rsid w:val="002C4660"/>
    <w:rPr>
      <w:rFonts w:ascii="Times New Roman" w:hAnsi="Times New Roman"/>
      <w:kern w:val="28"/>
    </w:rPr>
  </w:style>
  <w:style w:type="paragraph" w:styleId="Footer">
    <w:name w:val="footer"/>
    <w:basedOn w:val="Normal"/>
    <w:link w:val="FooterChar"/>
    <w:uiPriority w:val="99"/>
    <w:unhideWhenUsed/>
    <w:rsid w:val="002C4660"/>
    <w:pPr>
      <w:tabs>
        <w:tab w:val="center" w:pos="4680"/>
        <w:tab w:val="right" w:pos="9360"/>
      </w:tabs>
    </w:pPr>
  </w:style>
  <w:style w:type="character" w:customStyle="1" w:styleId="FooterChar">
    <w:name w:val="Footer Char"/>
    <w:basedOn w:val="DefaultParagraphFont"/>
    <w:link w:val="Footer"/>
    <w:uiPriority w:val="99"/>
    <w:locked/>
    <w:rsid w:val="002C4660"/>
    <w:rPr>
      <w:rFonts w:ascii="Times New Roman" w:hAnsi="Times New Roman"/>
      <w:kern w:val="28"/>
    </w:rPr>
  </w:style>
  <w:style w:type="character" w:customStyle="1" w:styleId="st">
    <w:name w:val="st"/>
    <w:basedOn w:val="DefaultParagraphFont"/>
    <w:rsid w:val="00EA5A6A"/>
    <w:rPr>
      <w:rFonts w:cs="Times New Roman"/>
    </w:rPr>
  </w:style>
  <w:style w:type="character" w:styleId="Emphasis">
    <w:name w:val="Emphasis"/>
    <w:basedOn w:val="DefaultParagraphFont"/>
    <w:uiPriority w:val="20"/>
    <w:qFormat/>
    <w:rsid w:val="00EA5A6A"/>
    <w:rPr>
      <w:i/>
    </w:rPr>
  </w:style>
  <w:style w:type="character" w:styleId="Hyperlink">
    <w:name w:val="Hyperlink"/>
    <w:basedOn w:val="DefaultParagraphFont"/>
    <w:uiPriority w:val="99"/>
    <w:unhideWhenUsed/>
    <w:rsid w:val="00EA5A6A"/>
    <w:rPr>
      <w:color w:val="0000FF"/>
      <w:u w:val="single"/>
    </w:rPr>
  </w:style>
  <w:style w:type="character" w:customStyle="1" w:styleId="style5">
    <w:name w:val="style_5"/>
    <w:basedOn w:val="DefaultParagraphFont"/>
    <w:rsid w:val="003F4C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7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rchive.org/" TargetMode="External"/><Relationship Id="rId18" Type="http://schemas.openxmlformats.org/officeDocument/2006/relationships/hyperlink" Target="http://www.ala.org/alcts/resources/collect/serials/microforms" TargetMode="External"/><Relationship Id="rId26" Type="http://schemas.openxmlformats.org/officeDocument/2006/relationships/hyperlink" Target="https://www.thecrowleycompany.com/wp-content/uploads/2017/09/DealingWithAgingMicrofilm-web.pdf" TargetMode="External"/><Relationship Id="rId3" Type="http://schemas.openxmlformats.org/officeDocument/2006/relationships/settings" Target="settings.xml"/><Relationship Id="rId21" Type="http://schemas.openxmlformats.org/officeDocument/2006/relationships/hyperlink" Target="https://naidonline.org/about/" TargetMode="External"/><Relationship Id="rId7" Type="http://schemas.openxmlformats.org/officeDocument/2006/relationships/image" Target="media/image1.jpg"/><Relationship Id="rId12" Type="http://schemas.openxmlformats.org/officeDocument/2006/relationships/hyperlink" Target="https://chroniclingamerica.loc.gov/" TargetMode="External"/><Relationship Id="rId17" Type="http://schemas.openxmlformats.org/officeDocument/2006/relationships/hyperlink" Target="https://artelierestauracio.files.wordpress.com/2011/11/vinegar-syndrome.pdf" TargetMode="External"/><Relationship Id="rId25" Type="http://schemas.openxmlformats.org/officeDocument/2006/relationships/hyperlink" Target="https://www.vdh.virginia.gov/epidemiology/epidemiology-fact-sheets/acetic-acid/" TargetMode="External"/><Relationship Id="rId2" Type="http://schemas.openxmlformats.org/officeDocument/2006/relationships/styles" Target="styles.xml"/><Relationship Id="rId16" Type="http://schemas.openxmlformats.org/officeDocument/2006/relationships/hyperlink" Target="https://theconversation.com/historical-films-may-be-decaying-much-faster-than-we-thought-thanks-to-vinegar-syndrome-131712" TargetMode="External"/><Relationship Id="rId20" Type="http://schemas.openxmlformats.org/officeDocument/2006/relationships/hyperlink" Target="https://psap.library.illinois.edu/collection-id-guide/microfor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ore.imagepermanenceinstitute.org/ad-strips" TargetMode="External"/><Relationship Id="rId24" Type="http://schemas.openxmlformats.org/officeDocument/2006/relationships/hyperlink" Target="https://www.crl.edu/focus/article/463" TargetMode="External"/><Relationship Id="rId5" Type="http://schemas.openxmlformats.org/officeDocument/2006/relationships/footnotes" Target="footnotes.xml"/><Relationship Id="rId15" Type="http://schemas.openxmlformats.org/officeDocument/2006/relationships/hyperlink" Target="https://naidonline.org/" TargetMode="External"/><Relationship Id="rId23" Type="http://schemas.openxmlformats.org/officeDocument/2006/relationships/hyperlink" Target="http://www.archives.nysed.gov/common/archives/files/mr_pub15.pdf" TargetMode="External"/><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yperlink" Target="https://www.filmcare.org/ad_strips"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athitrust.org/" TargetMode="External"/><Relationship Id="rId22" Type="http://schemas.openxmlformats.org/officeDocument/2006/relationships/hyperlink" Target="https://s3.cad.rit.edu/ipi-assets/publications/acetate_guide.pdf" TargetMode="External"/><Relationship Id="rId27" Type="http://schemas.openxmlformats.org/officeDocument/2006/relationships/hyperlink" Target="mailto:heather.plaisance@louisiana.ed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19</Pages>
  <Words>4880</Words>
  <Characters>27817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Codex: the Journal of the Louisiana Chapter of the ACRL</vt:lpstr>
    </vt:vector>
  </TitlesOfParts>
  <Company>University of Louisiana Monroe</Company>
  <LinksUpToDate>false</LinksUpToDate>
  <CharactersWithSpaces>32632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Codex: the Journal of the Louisiana Chapter of the ACRL</dc:title>
  <dc:creator>base</dc:creator>
  <cp:lastModifiedBy>Megan Lowe</cp:lastModifiedBy>
  <cp:revision>25</cp:revision>
  <cp:lastPrinted>2014-01-17T15:04:00Z</cp:lastPrinted>
  <dcterms:created xsi:type="dcterms:W3CDTF">2021-03-16T20:00:00Z</dcterms:created>
  <dcterms:modified xsi:type="dcterms:W3CDTF">2021-03-17T16:37:00Z</dcterms:modified>
</cp:coreProperties>
</file>